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C94F6" w14:textId="77777777" w:rsidR="00CC512B" w:rsidRDefault="00CC512B">
      <w:pPr>
        <w:jc w:val="center"/>
        <w:rPr>
          <w:rFonts w:ascii="Times New Roman" w:eastAsia="黑体" w:hAnsi="Times New Roman" w:cs="Times New Roman"/>
          <w:sz w:val="72"/>
          <w:szCs w:val="72"/>
        </w:rPr>
      </w:pPr>
    </w:p>
    <w:p w14:paraId="386B4FAC" w14:textId="77777777" w:rsidR="00CC512B" w:rsidRDefault="00CC512B">
      <w:pPr>
        <w:jc w:val="center"/>
        <w:rPr>
          <w:rFonts w:ascii="Times New Roman" w:eastAsia="黑体" w:hAnsi="Times New Roman" w:cs="Times New Roman"/>
          <w:sz w:val="72"/>
          <w:szCs w:val="72"/>
        </w:rPr>
      </w:pPr>
    </w:p>
    <w:p w14:paraId="07DC5D11" w14:textId="77777777" w:rsidR="00CC512B" w:rsidRDefault="00CC512B">
      <w:pPr>
        <w:jc w:val="center"/>
        <w:rPr>
          <w:rFonts w:ascii="Times New Roman" w:eastAsia="黑体" w:hAnsi="Times New Roman" w:cs="Times New Roman"/>
          <w:sz w:val="72"/>
          <w:szCs w:val="72"/>
        </w:rPr>
      </w:pPr>
    </w:p>
    <w:p w14:paraId="2BEB1803" w14:textId="48EFCB2E" w:rsidR="00CC512B" w:rsidRDefault="00834B86">
      <w:pPr>
        <w:jc w:val="center"/>
        <w:rPr>
          <w:rFonts w:ascii="Times New Roman" w:eastAsia="黑体" w:hAnsi="Times New Roman" w:cs="Times New Roman"/>
          <w:sz w:val="52"/>
          <w:szCs w:val="52"/>
        </w:rPr>
      </w:pPr>
      <w:r>
        <w:rPr>
          <w:rFonts w:ascii="Times New Roman" w:eastAsia="黑体" w:hAnsi="Times New Roman" w:cs="Times New Roman"/>
          <w:sz w:val="52"/>
          <w:szCs w:val="52"/>
        </w:rPr>
        <w:t>2023</w:t>
      </w:r>
      <w:r>
        <w:rPr>
          <w:rFonts w:ascii="Times New Roman" w:eastAsia="黑体" w:hAnsi="Times New Roman" w:cs="Times New Roman"/>
          <w:sz w:val="52"/>
          <w:szCs w:val="52"/>
        </w:rPr>
        <w:t>年（第三届）</w:t>
      </w:r>
      <w:r w:rsidR="00000000">
        <w:rPr>
          <w:rFonts w:ascii="Times New Roman" w:eastAsia="黑体" w:hAnsi="Times New Roman" w:cs="Times New Roman"/>
          <w:sz w:val="52"/>
          <w:szCs w:val="52"/>
        </w:rPr>
        <w:t>四川省大学生物流设计大赛</w:t>
      </w:r>
    </w:p>
    <w:p w14:paraId="750505D3" w14:textId="77777777" w:rsidR="00CC512B" w:rsidRDefault="00CC512B">
      <w:pPr>
        <w:jc w:val="center"/>
        <w:rPr>
          <w:rFonts w:ascii="Times New Roman" w:eastAsia="黑体" w:hAnsi="Times New Roman" w:cs="Times New Roman"/>
          <w:sz w:val="72"/>
          <w:szCs w:val="72"/>
        </w:rPr>
      </w:pPr>
    </w:p>
    <w:p w14:paraId="5CBD6E94" w14:textId="77777777" w:rsidR="00CC512B" w:rsidRDefault="00000000">
      <w:pPr>
        <w:jc w:val="center"/>
        <w:rPr>
          <w:rFonts w:ascii="Times New Roman" w:eastAsia="黑体" w:hAnsi="Times New Roman" w:cs="Times New Roman"/>
          <w:sz w:val="72"/>
          <w:szCs w:val="72"/>
        </w:rPr>
      </w:pPr>
      <w:r>
        <w:rPr>
          <w:rFonts w:ascii="Times New Roman" w:eastAsia="黑体" w:hAnsi="Times New Roman" w:cs="Times New Roman"/>
          <w:sz w:val="72"/>
          <w:szCs w:val="72"/>
        </w:rPr>
        <w:t>案例</w:t>
      </w:r>
    </w:p>
    <w:p w14:paraId="6A481894" w14:textId="77777777" w:rsidR="00CC512B" w:rsidRDefault="00CC512B">
      <w:pPr>
        <w:jc w:val="center"/>
        <w:rPr>
          <w:rFonts w:ascii="Times New Roman" w:eastAsia="黑体" w:hAnsi="Times New Roman" w:cs="Times New Roman"/>
          <w:sz w:val="72"/>
          <w:szCs w:val="72"/>
        </w:rPr>
      </w:pPr>
    </w:p>
    <w:p w14:paraId="6AE3C66C" w14:textId="77777777" w:rsidR="00CC512B" w:rsidRDefault="00CC512B">
      <w:pPr>
        <w:jc w:val="center"/>
        <w:rPr>
          <w:rFonts w:ascii="Times New Roman" w:eastAsia="黑体" w:hAnsi="Times New Roman" w:cs="Times New Roman"/>
          <w:sz w:val="72"/>
          <w:szCs w:val="72"/>
        </w:rPr>
      </w:pPr>
    </w:p>
    <w:p w14:paraId="3F400336" w14:textId="77777777" w:rsidR="00CC512B" w:rsidRDefault="00CC512B">
      <w:pPr>
        <w:jc w:val="center"/>
        <w:rPr>
          <w:rFonts w:ascii="Times New Roman" w:eastAsia="黑体" w:hAnsi="Times New Roman" w:cs="Times New Roman"/>
          <w:sz w:val="72"/>
          <w:szCs w:val="72"/>
        </w:rPr>
      </w:pPr>
    </w:p>
    <w:p w14:paraId="15C810B4" w14:textId="77777777" w:rsidR="00CC512B" w:rsidRDefault="00CC512B">
      <w:pPr>
        <w:jc w:val="center"/>
        <w:rPr>
          <w:rFonts w:ascii="Times New Roman" w:eastAsia="黑体" w:hAnsi="Times New Roman" w:cs="Times New Roman"/>
          <w:sz w:val="72"/>
          <w:szCs w:val="72"/>
        </w:rPr>
      </w:pPr>
    </w:p>
    <w:p w14:paraId="373573F3" w14:textId="77777777" w:rsidR="00CC512B" w:rsidRDefault="00CC512B">
      <w:pPr>
        <w:jc w:val="center"/>
        <w:rPr>
          <w:rFonts w:ascii="Times New Roman" w:eastAsia="黑体" w:hAnsi="Times New Roman" w:cs="Times New Roman"/>
          <w:sz w:val="72"/>
          <w:szCs w:val="72"/>
        </w:rPr>
      </w:pPr>
    </w:p>
    <w:p w14:paraId="18AE11B6" w14:textId="77777777" w:rsidR="00CC512B" w:rsidRDefault="00CC512B">
      <w:pPr>
        <w:jc w:val="center"/>
        <w:rPr>
          <w:rFonts w:ascii="Times New Roman" w:eastAsia="黑体" w:hAnsi="Times New Roman" w:cs="Times New Roman"/>
          <w:sz w:val="72"/>
          <w:szCs w:val="72"/>
        </w:rPr>
      </w:pPr>
    </w:p>
    <w:p w14:paraId="68EA4430" w14:textId="77777777" w:rsidR="00CC512B" w:rsidRDefault="00CC512B">
      <w:pPr>
        <w:tabs>
          <w:tab w:val="left" w:pos="3230"/>
          <w:tab w:val="center" w:pos="4153"/>
        </w:tabs>
        <w:jc w:val="center"/>
        <w:rPr>
          <w:rFonts w:ascii="Times New Roman" w:eastAsia="黑体" w:hAnsi="Times New Roman" w:cs="Times New Roman"/>
          <w:sz w:val="44"/>
          <w:szCs w:val="44"/>
        </w:rPr>
      </w:pPr>
    </w:p>
    <w:p w14:paraId="7E46D3CE" w14:textId="3F3ABDD4" w:rsidR="00CC512B" w:rsidRDefault="00CC512B">
      <w:pPr>
        <w:tabs>
          <w:tab w:val="left" w:pos="3230"/>
          <w:tab w:val="center" w:pos="4153"/>
        </w:tabs>
        <w:jc w:val="center"/>
        <w:rPr>
          <w:rFonts w:ascii="Times New Roman" w:eastAsia="黑体" w:hAnsi="Times New Roman" w:cs="Times New Roman"/>
          <w:sz w:val="44"/>
          <w:szCs w:val="44"/>
        </w:rPr>
      </w:pPr>
    </w:p>
    <w:p w14:paraId="7E387507" w14:textId="77777777" w:rsidR="00CC512B" w:rsidRDefault="00CC512B">
      <w:pPr>
        <w:rPr>
          <w:rFonts w:ascii="Times New Roman" w:eastAsia="黑体" w:hAnsi="Times New Roman" w:cs="Times New Roman"/>
          <w:sz w:val="52"/>
          <w:szCs w:val="52"/>
        </w:rPr>
      </w:pPr>
    </w:p>
    <w:p w14:paraId="56EE7CA9" w14:textId="77777777" w:rsidR="00CC512B" w:rsidRDefault="00CC512B">
      <w:pPr>
        <w:rPr>
          <w:rFonts w:ascii="Times New Roman" w:eastAsia="黑体" w:hAnsi="Times New Roman" w:cs="Times New Roman"/>
          <w:sz w:val="52"/>
          <w:szCs w:val="52"/>
        </w:rPr>
      </w:pPr>
    </w:p>
    <w:p w14:paraId="1631479F" w14:textId="77777777" w:rsidR="00CC512B" w:rsidRDefault="00000000">
      <w:pPr>
        <w:pStyle w:val="Default"/>
        <w:jc w:val="center"/>
        <w:rPr>
          <w:rFonts w:ascii="Times New Roman" w:eastAsia="宋体" w:cs="Times New Roman"/>
          <w:b/>
          <w:bCs/>
          <w:color w:val="auto"/>
          <w:sz w:val="32"/>
          <w:szCs w:val="32"/>
        </w:rPr>
      </w:pPr>
      <w:r>
        <w:rPr>
          <w:rFonts w:ascii="Times New Roman" w:eastAsia="宋体" w:cs="Times New Roman"/>
          <w:b/>
          <w:bCs/>
          <w:color w:val="auto"/>
          <w:sz w:val="32"/>
          <w:szCs w:val="32"/>
        </w:rPr>
        <w:t>编写说明</w:t>
      </w:r>
    </w:p>
    <w:p w14:paraId="7B956BA3" w14:textId="77777777" w:rsidR="00CC512B" w:rsidRDefault="00000000">
      <w:pPr>
        <w:pStyle w:val="a0"/>
        <w:ind w:firstLine="640"/>
        <w:rPr>
          <w:sz w:val="32"/>
          <w:szCs w:val="32"/>
        </w:rPr>
      </w:pPr>
      <w:r>
        <w:rPr>
          <w:sz w:val="32"/>
          <w:szCs w:val="32"/>
        </w:rPr>
        <w:t>本案例仅供本次大赛使用，任何形式的转载均需要经过大赛组委会授权，严禁擅自摘抄使用。</w:t>
      </w:r>
      <w:r>
        <w:rPr>
          <w:sz w:val="32"/>
          <w:szCs w:val="32"/>
        </w:rPr>
        <w:t xml:space="preserve"> </w:t>
      </w:r>
    </w:p>
    <w:p w14:paraId="2E4F33FE" w14:textId="77777777" w:rsidR="00CC512B" w:rsidRDefault="00000000">
      <w:pPr>
        <w:pStyle w:val="a0"/>
        <w:ind w:firstLine="640"/>
        <w:rPr>
          <w:sz w:val="32"/>
          <w:szCs w:val="32"/>
        </w:rPr>
      </w:pPr>
      <w:r>
        <w:rPr>
          <w:sz w:val="32"/>
          <w:szCs w:val="32"/>
        </w:rPr>
        <w:t>由于企业保密的要求，在本案例中对有关名称、数据等做了必要的掩饰性处理。</w:t>
      </w:r>
      <w:r>
        <w:rPr>
          <w:sz w:val="32"/>
          <w:szCs w:val="32"/>
        </w:rPr>
        <w:t xml:space="preserve"> </w:t>
      </w:r>
    </w:p>
    <w:p w14:paraId="2F8A60C8" w14:textId="77777777" w:rsidR="00CC512B" w:rsidRDefault="00000000">
      <w:pPr>
        <w:pStyle w:val="a0"/>
        <w:ind w:firstLine="640"/>
        <w:rPr>
          <w:sz w:val="32"/>
          <w:szCs w:val="32"/>
        </w:rPr>
      </w:pPr>
      <w:r>
        <w:rPr>
          <w:sz w:val="32"/>
          <w:szCs w:val="32"/>
        </w:rPr>
        <w:t>本案例只供四川省大学生物流设计大赛的比赛之用，并无意暗示或说明</w:t>
      </w:r>
      <w:proofErr w:type="gramStart"/>
      <w:r>
        <w:rPr>
          <w:sz w:val="32"/>
          <w:szCs w:val="32"/>
        </w:rPr>
        <w:t>某种管理</w:t>
      </w:r>
      <w:proofErr w:type="gramEnd"/>
      <w:r>
        <w:rPr>
          <w:sz w:val="32"/>
          <w:szCs w:val="32"/>
        </w:rPr>
        <w:t>行为是否有效。</w:t>
      </w:r>
    </w:p>
    <w:p w14:paraId="6AAF9366" w14:textId="77777777" w:rsidR="00CC512B" w:rsidRDefault="00000000">
      <w:pPr>
        <w:pStyle w:val="a0"/>
        <w:ind w:firstLine="640"/>
        <w:rPr>
          <w:sz w:val="32"/>
          <w:szCs w:val="32"/>
        </w:rPr>
      </w:pPr>
      <w:r>
        <w:rPr>
          <w:sz w:val="32"/>
          <w:szCs w:val="32"/>
        </w:rPr>
        <w:t>本案例在编写过程中，参考了部分新闻资料和文献资料，同时参考了部分企业提供的真实案例资料，在此</w:t>
      </w:r>
      <w:proofErr w:type="gramStart"/>
      <w:r>
        <w:rPr>
          <w:sz w:val="32"/>
          <w:szCs w:val="32"/>
        </w:rPr>
        <w:t>向资料</w:t>
      </w:r>
      <w:proofErr w:type="gramEnd"/>
      <w:r>
        <w:rPr>
          <w:sz w:val="32"/>
          <w:szCs w:val="32"/>
        </w:rPr>
        <w:t>提供方表示衷心的感谢！</w:t>
      </w:r>
    </w:p>
    <w:p w14:paraId="6CB6997A" w14:textId="77777777" w:rsidR="00CC512B" w:rsidRDefault="00CC512B">
      <w:pPr>
        <w:pStyle w:val="a0"/>
        <w:ind w:firstLine="640"/>
        <w:rPr>
          <w:sz w:val="32"/>
          <w:szCs w:val="32"/>
        </w:rPr>
      </w:pPr>
    </w:p>
    <w:p w14:paraId="342ACCF7" w14:textId="77777777" w:rsidR="00CC512B" w:rsidRDefault="00CC512B">
      <w:pPr>
        <w:pStyle w:val="a0"/>
        <w:ind w:firstLine="640"/>
        <w:rPr>
          <w:sz w:val="32"/>
          <w:szCs w:val="32"/>
        </w:rPr>
      </w:pPr>
    </w:p>
    <w:p w14:paraId="6905EC15" w14:textId="77777777" w:rsidR="00CC512B" w:rsidRDefault="00CC512B">
      <w:pPr>
        <w:pStyle w:val="a0"/>
        <w:ind w:firstLine="640"/>
        <w:rPr>
          <w:sz w:val="32"/>
          <w:szCs w:val="32"/>
        </w:rPr>
      </w:pPr>
    </w:p>
    <w:p w14:paraId="233EBEFE" w14:textId="77777777" w:rsidR="00CC512B" w:rsidRDefault="00CC512B">
      <w:pPr>
        <w:pStyle w:val="a0"/>
        <w:ind w:firstLine="640"/>
        <w:rPr>
          <w:sz w:val="32"/>
          <w:szCs w:val="32"/>
        </w:rPr>
      </w:pPr>
    </w:p>
    <w:p w14:paraId="3931D630" w14:textId="244DBD60" w:rsidR="00CC512B" w:rsidRDefault="00834B86" w:rsidP="00834B86">
      <w:pPr>
        <w:pStyle w:val="a0"/>
        <w:ind w:firstLine="640"/>
        <w:jc w:val="right"/>
        <w:rPr>
          <w:sz w:val="32"/>
          <w:szCs w:val="32"/>
        </w:rPr>
      </w:pPr>
      <w:r>
        <w:rPr>
          <w:sz w:val="32"/>
          <w:szCs w:val="32"/>
        </w:rPr>
        <w:t>2023</w:t>
      </w:r>
      <w:r>
        <w:rPr>
          <w:sz w:val="32"/>
          <w:szCs w:val="32"/>
        </w:rPr>
        <w:t>年（第三届）</w:t>
      </w:r>
      <w:r w:rsidR="00000000">
        <w:rPr>
          <w:sz w:val="32"/>
          <w:szCs w:val="32"/>
        </w:rPr>
        <w:t>四川省大学生物流设计大赛</w:t>
      </w:r>
    </w:p>
    <w:p w14:paraId="47F2C6F4" w14:textId="77777777" w:rsidR="00CC512B" w:rsidRDefault="00000000" w:rsidP="00834B86">
      <w:pPr>
        <w:pStyle w:val="a0"/>
        <w:ind w:firstLine="640"/>
        <w:jc w:val="right"/>
        <w:rPr>
          <w:sz w:val="32"/>
          <w:szCs w:val="32"/>
        </w:rPr>
      </w:pPr>
      <w:r>
        <w:rPr>
          <w:sz w:val="32"/>
          <w:szCs w:val="32"/>
        </w:rPr>
        <w:t>案例编写小组</w:t>
      </w:r>
    </w:p>
    <w:p w14:paraId="47C75E79" w14:textId="77777777" w:rsidR="00CC512B" w:rsidRDefault="00000000" w:rsidP="00834B86">
      <w:pPr>
        <w:pStyle w:val="a0"/>
        <w:ind w:firstLine="640"/>
        <w:jc w:val="right"/>
        <w:rPr>
          <w:sz w:val="32"/>
          <w:szCs w:val="32"/>
        </w:rPr>
        <w:sectPr w:rsidR="00CC512B">
          <w:pgSz w:w="11906" w:h="16838"/>
          <w:pgMar w:top="1440" w:right="1800" w:bottom="1440" w:left="1800" w:header="851" w:footer="992" w:gutter="0"/>
          <w:cols w:space="425"/>
          <w:docGrid w:type="lines" w:linePitch="312"/>
        </w:sectPr>
      </w:pPr>
      <w:r>
        <w:rPr>
          <w:sz w:val="32"/>
          <w:szCs w:val="32"/>
        </w:rPr>
        <w:t>2023</w:t>
      </w:r>
      <w:r>
        <w:rPr>
          <w:sz w:val="32"/>
          <w:szCs w:val="32"/>
        </w:rPr>
        <w:t>年</w:t>
      </w:r>
      <w:r>
        <w:rPr>
          <w:sz w:val="32"/>
          <w:szCs w:val="32"/>
        </w:rPr>
        <w:t>8</w:t>
      </w:r>
      <w:r>
        <w:rPr>
          <w:sz w:val="32"/>
          <w:szCs w:val="32"/>
        </w:rPr>
        <w:t>月</w:t>
      </w:r>
    </w:p>
    <w:p w14:paraId="46802E02" w14:textId="77777777" w:rsidR="00CC512B" w:rsidRPr="00834B86" w:rsidRDefault="00000000">
      <w:pPr>
        <w:widowControl/>
        <w:jc w:val="center"/>
        <w:rPr>
          <w:rFonts w:ascii="宋体" w:eastAsia="宋体" w:hAnsi="宋体" w:cs="Times New Roman"/>
          <w:sz w:val="32"/>
          <w:szCs w:val="32"/>
        </w:rPr>
      </w:pPr>
      <w:r w:rsidRPr="00834B86">
        <w:rPr>
          <w:rFonts w:ascii="宋体" w:eastAsia="宋体" w:hAnsi="宋体" w:cs="Times New Roman" w:hint="eastAsia"/>
          <w:sz w:val="32"/>
          <w:szCs w:val="32"/>
        </w:rPr>
        <w:lastRenderedPageBreak/>
        <w:t>目</w:t>
      </w:r>
      <w:r w:rsidRPr="00834B86">
        <w:rPr>
          <w:rFonts w:ascii="宋体" w:eastAsia="宋体" w:hAnsi="宋体" w:cs="Times New Roman"/>
          <w:sz w:val="32"/>
          <w:szCs w:val="32"/>
        </w:rPr>
        <w:t xml:space="preserve">    </w:t>
      </w:r>
      <w:r w:rsidRPr="00834B86">
        <w:rPr>
          <w:rFonts w:ascii="宋体" w:eastAsia="宋体" w:hAnsi="宋体" w:cs="Times New Roman" w:hint="eastAsia"/>
          <w:sz w:val="32"/>
          <w:szCs w:val="32"/>
        </w:rPr>
        <w:t>录</w:t>
      </w:r>
    </w:p>
    <w:sdt>
      <w:sdtPr>
        <w:rPr>
          <w:rFonts w:ascii="宋体" w:eastAsia="宋体" w:hAnsi="宋体"/>
          <w:lang w:val="zh-CN"/>
        </w:rPr>
        <w:id w:val="-1901895509"/>
        <w:docPartObj>
          <w:docPartGallery w:val="Table of Contents"/>
          <w:docPartUnique/>
        </w:docPartObj>
      </w:sdtPr>
      <w:sdtEndPr>
        <w:rPr>
          <w:rFonts w:cs="Times New Roman"/>
          <w:b/>
          <w:bCs/>
        </w:rPr>
      </w:sdtEndPr>
      <w:sdtContent>
        <w:p w14:paraId="3E71EBB4" w14:textId="77777777" w:rsidR="00CC512B" w:rsidRPr="00834B86" w:rsidRDefault="00000000">
          <w:pPr>
            <w:pStyle w:val="TOC1"/>
            <w:tabs>
              <w:tab w:val="right" w:leader="dot" w:pos="8296"/>
            </w:tabs>
            <w:spacing w:line="360" w:lineRule="auto"/>
            <w:rPr>
              <w:rFonts w:ascii="宋体" w:eastAsia="宋体" w:hAnsi="宋体" w:cs="Times New Roman"/>
              <w:noProof/>
            </w:rPr>
          </w:pPr>
          <w:r w:rsidRPr="00834B86">
            <w:rPr>
              <w:rFonts w:ascii="宋体" w:eastAsia="宋体" w:hAnsi="宋体" w:cs="Times New Roman"/>
            </w:rPr>
            <w:fldChar w:fldCharType="begin"/>
          </w:r>
          <w:r w:rsidRPr="00834B86">
            <w:rPr>
              <w:rFonts w:ascii="宋体" w:eastAsia="宋体" w:hAnsi="宋体" w:cs="Times New Roman"/>
            </w:rPr>
            <w:instrText xml:space="preserve"> TOC \o "1-3" \h \z \u </w:instrText>
          </w:r>
          <w:r w:rsidRPr="00834B86">
            <w:rPr>
              <w:rFonts w:ascii="宋体" w:eastAsia="宋体" w:hAnsi="宋体" w:cs="Times New Roman"/>
            </w:rPr>
            <w:fldChar w:fldCharType="separate"/>
          </w:r>
          <w:hyperlink w:anchor="_Toc144363194" w:history="1">
            <w:r w:rsidRPr="00834B86">
              <w:rPr>
                <w:rStyle w:val="af6"/>
                <w:rFonts w:ascii="宋体" w:eastAsia="宋体" w:hAnsi="宋体" w:cs="Times New Roman" w:hint="eastAsia"/>
                <w:noProof/>
              </w:rPr>
              <w:t>引言</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_Toc144363194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ii</w:t>
            </w:r>
            <w:r w:rsidRPr="00834B86">
              <w:rPr>
                <w:rFonts w:ascii="宋体" w:eastAsia="宋体" w:hAnsi="宋体" w:cs="Times New Roman"/>
                <w:noProof/>
                <w:webHidden/>
              </w:rPr>
              <w:fldChar w:fldCharType="end"/>
            </w:r>
          </w:hyperlink>
        </w:p>
        <w:p w14:paraId="336C1E3A" w14:textId="77777777" w:rsidR="00CC512B" w:rsidRPr="00834B86" w:rsidRDefault="00000000">
          <w:pPr>
            <w:pStyle w:val="TOC1"/>
            <w:tabs>
              <w:tab w:val="right" w:leader="dot" w:pos="8296"/>
            </w:tabs>
            <w:spacing w:line="360" w:lineRule="auto"/>
            <w:rPr>
              <w:rFonts w:ascii="宋体" w:eastAsia="宋体" w:hAnsi="宋体" w:cs="Times New Roman"/>
              <w:noProof/>
            </w:rPr>
          </w:pPr>
          <w:hyperlink w:anchor="_Toc144363195" w:history="1">
            <w:r w:rsidRPr="00834B86">
              <w:rPr>
                <w:rStyle w:val="af6"/>
                <w:rFonts w:ascii="宋体" w:eastAsia="宋体" w:hAnsi="宋体" w:cs="Times New Roman" w:hint="eastAsia"/>
                <w:noProof/>
              </w:rPr>
              <w:t>案例</w:t>
            </w:r>
            <w:r w:rsidRPr="00834B86">
              <w:rPr>
                <w:rStyle w:val="af6"/>
                <w:rFonts w:ascii="宋体" w:eastAsia="宋体" w:hAnsi="宋体" w:cs="Times New Roman"/>
                <w:noProof/>
              </w:rPr>
              <w:t>1</w:t>
            </w:r>
            <w:r w:rsidRPr="00834B86">
              <w:rPr>
                <w:rStyle w:val="af6"/>
                <w:rFonts w:ascii="宋体" w:eastAsia="宋体" w:hAnsi="宋体" w:cs="Times New Roman" w:hint="eastAsia"/>
                <w:noProof/>
              </w:rPr>
              <w:t>多式联运物流体系协同融合发展之路</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_Toc144363195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w:t>
            </w:r>
            <w:r w:rsidRPr="00834B86">
              <w:rPr>
                <w:rFonts w:ascii="宋体" w:eastAsia="宋体" w:hAnsi="宋体" w:cs="Times New Roman"/>
                <w:noProof/>
                <w:webHidden/>
              </w:rPr>
              <w:fldChar w:fldCharType="end"/>
            </w:r>
          </w:hyperlink>
        </w:p>
        <w:p w14:paraId="55D055A2" w14:textId="77777777" w:rsidR="00CC512B" w:rsidRPr="00834B86" w:rsidRDefault="00000000">
          <w:pPr>
            <w:pStyle w:val="TOC2"/>
            <w:tabs>
              <w:tab w:val="right" w:leader="dot" w:pos="8296"/>
            </w:tabs>
            <w:spacing w:line="360" w:lineRule="auto"/>
            <w:rPr>
              <w:rFonts w:ascii="宋体" w:eastAsia="宋体" w:hAnsi="宋体" w:cs="Times New Roman"/>
              <w:noProof/>
            </w:rPr>
          </w:pPr>
          <w:hyperlink w:anchor="_Toc144363196" w:history="1">
            <w:r w:rsidRPr="00834B86">
              <w:rPr>
                <w:rStyle w:val="af6"/>
                <w:rFonts w:ascii="宋体" w:eastAsia="宋体" w:hAnsi="宋体" w:cs="Times New Roman"/>
                <w:noProof/>
              </w:rPr>
              <w:t>1.1</w:t>
            </w:r>
            <w:r w:rsidRPr="00834B86">
              <w:rPr>
                <w:rStyle w:val="af6"/>
                <w:rFonts w:ascii="宋体" w:eastAsia="宋体" w:hAnsi="宋体" w:cs="Times New Roman" w:hint="eastAsia"/>
                <w:noProof/>
              </w:rPr>
              <w:t>多式联运体系的协同发展问题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_Toc144363196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w:t>
            </w:r>
            <w:r w:rsidRPr="00834B86">
              <w:rPr>
                <w:rFonts w:ascii="宋体" w:eastAsia="宋体" w:hAnsi="宋体" w:cs="Times New Roman"/>
                <w:noProof/>
                <w:webHidden/>
              </w:rPr>
              <w:fldChar w:fldCharType="end"/>
            </w:r>
          </w:hyperlink>
        </w:p>
        <w:p w14:paraId="34721B64"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197" w:history="1">
            <w:r w:rsidRPr="00834B86">
              <w:rPr>
                <w:rStyle w:val="af6"/>
                <w:rFonts w:ascii="宋体" w:eastAsia="宋体" w:hAnsi="宋体" w:cs="Times New Roman"/>
                <w:noProof/>
              </w:rPr>
              <w:t>1.1.1</w:t>
            </w:r>
            <w:r w:rsidRPr="00834B86">
              <w:rPr>
                <w:rStyle w:val="af6"/>
                <w:rFonts w:ascii="宋体" w:eastAsia="宋体" w:hAnsi="宋体" w:cs="Times New Roman" w:hint="eastAsia"/>
                <w:noProof/>
              </w:rPr>
              <w:t>背景</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_Toc144363197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w:t>
            </w:r>
            <w:r w:rsidRPr="00834B86">
              <w:rPr>
                <w:rFonts w:ascii="宋体" w:eastAsia="宋体" w:hAnsi="宋体" w:cs="Times New Roman"/>
                <w:noProof/>
                <w:webHidden/>
              </w:rPr>
              <w:fldChar w:fldCharType="end"/>
            </w:r>
          </w:hyperlink>
        </w:p>
        <w:p w14:paraId="1891A89E"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198" w:history="1">
            <w:r w:rsidRPr="00834B86">
              <w:rPr>
                <w:rStyle w:val="af6"/>
                <w:rFonts w:ascii="宋体" w:eastAsia="宋体" w:hAnsi="宋体" w:cs="Times New Roman"/>
                <w:noProof/>
              </w:rPr>
              <w:t>1.1.2</w:t>
            </w:r>
            <w:r w:rsidRPr="00834B86">
              <w:rPr>
                <w:rStyle w:val="af6"/>
                <w:rFonts w:ascii="宋体" w:eastAsia="宋体" w:hAnsi="宋体" w:cs="Times New Roman" w:hint="eastAsia"/>
                <w:noProof/>
              </w:rPr>
              <w:t>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_Toc144363198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3</w:t>
            </w:r>
            <w:r w:rsidRPr="00834B86">
              <w:rPr>
                <w:rFonts w:ascii="宋体" w:eastAsia="宋体" w:hAnsi="宋体" w:cs="Times New Roman"/>
                <w:noProof/>
                <w:webHidden/>
              </w:rPr>
              <w:fldChar w:fldCharType="end"/>
            </w:r>
          </w:hyperlink>
        </w:p>
        <w:p w14:paraId="26FE6E59" w14:textId="77777777" w:rsidR="00CC512B" w:rsidRPr="00834B86" w:rsidRDefault="00000000">
          <w:pPr>
            <w:pStyle w:val="TOC2"/>
            <w:tabs>
              <w:tab w:val="right" w:leader="dot" w:pos="8296"/>
            </w:tabs>
            <w:spacing w:line="360" w:lineRule="auto"/>
            <w:rPr>
              <w:rFonts w:ascii="宋体" w:eastAsia="宋体" w:hAnsi="宋体" w:cs="Times New Roman"/>
              <w:noProof/>
            </w:rPr>
          </w:pPr>
          <w:hyperlink w:anchor="_Toc144363199" w:history="1">
            <w:r w:rsidRPr="00834B86">
              <w:rPr>
                <w:rStyle w:val="af6"/>
                <w:rFonts w:ascii="宋体" w:eastAsia="宋体" w:hAnsi="宋体" w:cs="Times New Roman"/>
                <w:noProof/>
              </w:rPr>
              <w:t>1.2</w:t>
            </w:r>
            <w:r w:rsidRPr="00834B86">
              <w:rPr>
                <w:rStyle w:val="af6"/>
                <w:rFonts w:ascii="宋体" w:eastAsia="宋体" w:hAnsi="宋体" w:cs="Times New Roman" w:hint="eastAsia"/>
                <w:noProof/>
              </w:rPr>
              <w:t>物流与制造业、商贸业的融合发展问题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_Toc144363199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4</w:t>
            </w:r>
            <w:r w:rsidRPr="00834B86">
              <w:rPr>
                <w:rFonts w:ascii="宋体" w:eastAsia="宋体" w:hAnsi="宋体" w:cs="Times New Roman"/>
                <w:noProof/>
                <w:webHidden/>
              </w:rPr>
              <w:fldChar w:fldCharType="end"/>
            </w:r>
          </w:hyperlink>
        </w:p>
        <w:p w14:paraId="09DC019C"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00" w:history="1">
            <w:r w:rsidRPr="00834B86">
              <w:rPr>
                <w:rStyle w:val="af6"/>
                <w:rFonts w:ascii="宋体" w:eastAsia="宋体" w:hAnsi="宋体" w:cs="Times New Roman"/>
                <w:noProof/>
              </w:rPr>
              <w:t>1.2.1</w:t>
            </w:r>
            <w:r w:rsidRPr="00834B86">
              <w:rPr>
                <w:rStyle w:val="af6"/>
                <w:rFonts w:ascii="宋体" w:eastAsia="宋体" w:hAnsi="宋体" w:cs="Times New Roman" w:hint="eastAsia"/>
                <w:noProof/>
              </w:rPr>
              <w:t>背景</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_Toc144363200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4</w:t>
            </w:r>
            <w:r w:rsidRPr="00834B86">
              <w:rPr>
                <w:rFonts w:ascii="宋体" w:eastAsia="宋体" w:hAnsi="宋体" w:cs="Times New Roman"/>
                <w:noProof/>
                <w:webHidden/>
              </w:rPr>
              <w:fldChar w:fldCharType="end"/>
            </w:r>
          </w:hyperlink>
        </w:p>
        <w:p w14:paraId="583676C4"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01" w:history="1">
            <w:r w:rsidRPr="00834B86">
              <w:rPr>
                <w:rStyle w:val="af6"/>
                <w:rFonts w:ascii="宋体" w:eastAsia="宋体" w:hAnsi="宋体" w:cs="Times New Roman"/>
                <w:noProof/>
              </w:rPr>
              <w:t>1.2.2</w:t>
            </w:r>
            <w:r w:rsidRPr="00834B86">
              <w:rPr>
                <w:rStyle w:val="af6"/>
                <w:rFonts w:ascii="宋体" w:eastAsia="宋体" w:hAnsi="宋体" w:cs="Times New Roman" w:hint="eastAsia"/>
                <w:noProof/>
              </w:rPr>
              <w:t>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_Toc144363201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6</w:t>
            </w:r>
            <w:r w:rsidRPr="00834B86">
              <w:rPr>
                <w:rFonts w:ascii="宋体" w:eastAsia="宋体" w:hAnsi="宋体" w:cs="Times New Roman"/>
                <w:noProof/>
                <w:webHidden/>
              </w:rPr>
              <w:fldChar w:fldCharType="end"/>
            </w:r>
          </w:hyperlink>
        </w:p>
        <w:p w14:paraId="3C7726C7" w14:textId="77777777" w:rsidR="00CC512B" w:rsidRPr="00834B86" w:rsidRDefault="00000000">
          <w:pPr>
            <w:pStyle w:val="TOC1"/>
            <w:tabs>
              <w:tab w:val="right" w:leader="dot" w:pos="8296"/>
            </w:tabs>
            <w:spacing w:line="360" w:lineRule="auto"/>
            <w:rPr>
              <w:rFonts w:ascii="宋体" w:eastAsia="宋体" w:hAnsi="宋体" w:cs="Times New Roman"/>
              <w:noProof/>
            </w:rPr>
          </w:pPr>
          <w:hyperlink w:anchor="_Toc144363202" w:history="1">
            <w:r w:rsidRPr="00834B86">
              <w:rPr>
                <w:rStyle w:val="af6"/>
                <w:rFonts w:ascii="宋体" w:eastAsia="宋体" w:hAnsi="宋体" w:cs="Times New Roman" w:hint="eastAsia"/>
                <w:noProof/>
              </w:rPr>
              <w:t>案例</w:t>
            </w:r>
            <w:r w:rsidRPr="00834B86">
              <w:rPr>
                <w:rStyle w:val="af6"/>
                <w:rFonts w:ascii="宋体" w:eastAsia="宋体" w:hAnsi="宋体" w:cs="Times New Roman"/>
                <w:noProof/>
              </w:rPr>
              <w:t xml:space="preserve">2  </w:t>
            </w:r>
            <w:r w:rsidRPr="00834B86">
              <w:rPr>
                <w:rStyle w:val="af6"/>
                <w:rFonts w:ascii="宋体" w:eastAsia="宋体" w:hAnsi="宋体" w:cs="Times New Roman" w:hint="eastAsia"/>
                <w:noProof/>
              </w:rPr>
              <w:t>宜宾港高质量发展之路</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_Toc144363202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8</w:t>
            </w:r>
            <w:r w:rsidRPr="00834B86">
              <w:rPr>
                <w:rFonts w:ascii="宋体" w:eastAsia="宋体" w:hAnsi="宋体" w:cs="Times New Roman"/>
                <w:noProof/>
                <w:webHidden/>
              </w:rPr>
              <w:fldChar w:fldCharType="end"/>
            </w:r>
          </w:hyperlink>
        </w:p>
        <w:p w14:paraId="42177782" w14:textId="77777777" w:rsidR="00CC512B" w:rsidRPr="00834B86" w:rsidRDefault="00000000">
          <w:pPr>
            <w:pStyle w:val="TOC2"/>
            <w:tabs>
              <w:tab w:val="right" w:leader="dot" w:pos="8296"/>
            </w:tabs>
            <w:spacing w:line="360" w:lineRule="auto"/>
            <w:rPr>
              <w:rFonts w:ascii="宋体" w:eastAsia="宋体" w:hAnsi="宋体" w:cs="Times New Roman"/>
              <w:noProof/>
            </w:rPr>
          </w:pPr>
          <w:hyperlink w:anchor="_Toc144363203" w:history="1">
            <w:r w:rsidRPr="00834B86">
              <w:rPr>
                <w:rStyle w:val="af6"/>
                <w:rFonts w:ascii="宋体" w:eastAsia="宋体" w:hAnsi="宋体" w:cs="Times New Roman"/>
                <w:noProof/>
              </w:rPr>
              <w:t>2.1</w:t>
            </w:r>
            <w:r w:rsidRPr="00834B86">
              <w:rPr>
                <w:rStyle w:val="af6"/>
                <w:rFonts w:ascii="宋体" w:eastAsia="宋体" w:hAnsi="宋体" w:cs="Times New Roman" w:hint="eastAsia"/>
                <w:noProof/>
              </w:rPr>
              <w:t>数智宜宾港建设及货源拓展问题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_Toc144363203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8</w:t>
            </w:r>
            <w:r w:rsidRPr="00834B86">
              <w:rPr>
                <w:rFonts w:ascii="宋体" w:eastAsia="宋体" w:hAnsi="宋体" w:cs="Times New Roman"/>
                <w:noProof/>
                <w:webHidden/>
              </w:rPr>
              <w:fldChar w:fldCharType="end"/>
            </w:r>
          </w:hyperlink>
        </w:p>
        <w:p w14:paraId="1950A08D"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04" w:history="1">
            <w:r w:rsidRPr="00834B86">
              <w:rPr>
                <w:rStyle w:val="af6"/>
                <w:rFonts w:ascii="宋体" w:eastAsia="宋体" w:hAnsi="宋体" w:cs="Times New Roman"/>
                <w:noProof/>
              </w:rPr>
              <w:t xml:space="preserve">2.1.1 </w:t>
            </w:r>
            <w:r w:rsidRPr="00834B86">
              <w:rPr>
                <w:rStyle w:val="af6"/>
                <w:rFonts w:ascii="宋体" w:eastAsia="宋体" w:hAnsi="宋体" w:cs="Times New Roman" w:hint="eastAsia"/>
                <w:noProof/>
              </w:rPr>
              <w:t>背景</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_Toc144363204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8</w:t>
            </w:r>
            <w:r w:rsidRPr="00834B86">
              <w:rPr>
                <w:rFonts w:ascii="宋体" w:eastAsia="宋体" w:hAnsi="宋体" w:cs="Times New Roman"/>
                <w:noProof/>
                <w:webHidden/>
              </w:rPr>
              <w:fldChar w:fldCharType="end"/>
            </w:r>
          </w:hyperlink>
        </w:p>
        <w:p w14:paraId="452C1165"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05" w:history="1">
            <w:r w:rsidRPr="00834B86">
              <w:rPr>
                <w:rStyle w:val="af6"/>
                <w:rFonts w:ascii="宋体" w:eastAsia="宋体" w:hAnsi="宋体" w:cs="Times New Roman"/>
                <w:noProof/>
              </w:rPr>
              <w:t xml:space="preserve">2.1.2 </w:t>
            </w:r>
            <w:r w:rsidRPr="00834B86">
              <w:rPr>
                <w:rStyle w:val="af6"/>
                <w:rFonts w:ascii="宋体" w:eastAsia="宋体" w:hAnsi="宋体" w:cs="Times New Roman" w:hint="eastAsia"/>
                <w:noProof/>
              </w:rPr>
              <w:t>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_Toc144363205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11</w:t>
            </w:r>
            <w:r w:rsidRPr="00834B86">
              <w:rPr>
                <w:rFonts w:ascii="宋体" w:eastAsia="宋体" w:hAnsi="宋体" w:cs="Times New Roman"/>
                <w:noProof/>
                <w:webHidden/>
              </w:rPr>
              <w:fldChar w:fldCharType="end"/>
            </w:r>
          </w:hyperlink>
        </w:p>
        <w:p w14:paraId="46A4372B" w14:textId="77777777" w:rsidR="00CC512B" w:rsidRPr="00834B86" w:rsidRDefault="00000000">
          <w:pPr>
            <w:pStyle w:val="TOC2"/>
            <w:tabs>
              <w:tab w:val="right" w:leader="dot" w:pos="8296"/>
            </w:tabs>
            <w:spacing w:line="360" w:lineRule="auto"/>
            <w:rPr>
              <w:rFonts w:ascii="宋体" w:eastAsia="宋体" w:hAnsi="宋体" w:cs="Times New Roman"/>
              <w:noProof/>
            </w:rPr>
          </w:pPr>
          <w:hyperlink w:anchor="_Toc144363206" w:history="1">
            <w:r w:rsidRPr="00834B86">
              <w:rPr>
                <w:rStyle w:val="af6"/>
                <w:rFonts w:ascii="宋体" w:eastAsia="宋体" w:hAnsi="宋体" w:cs="Times New Roman"/>
                <w:noProof/>
              </w:rPr>
              <w:t>2.2</w:t>
            </w:r>
            <w:r w:rsidRPr="00834B86">
              <w:rPr>
                <w:rStyle w:val="af6"/>
                <w:rFonts w:ascii="宋体" w:eastAsia="宋体" w:hAnsi="宋体" w:cs="Times New Roman" w:hint="eastAsia"/>
                <w:noProof/>
              </w:rPr>
              <w:t>长江上游航运中心航运产业集群发展问题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_Toc144363206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12</w:t>
            </w:r>
            <w:r w:rsidRPr="00834B86">
              <w:rPr>
                <w:rFonts w:ascii="宋体" w:eastAsia="宋体" w:hAnsi="宋体" w:cs="Times New Roman"/>
                <w:noProof/>
                <w:webHidden/>
              </w:rPr>
              <w:fldChar w:fldCharType="end"/>
            </w:r>
          </w:hyperlink>
        </w:p>
        <w:p w14:paraId="24E5408B"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07" w:history="1">
            <w:r w:rsidRPr="00834B86">
              <w:rPr>
                <w:rStyle w:val="af6"/>
                <w:rFonts w:ascii="宋体" w:eastAsia="宋体" w:hAnsi="宋体" w:cs="Times New Roman"/>
                <w:noProof/>
              </w:rPr>
              <w:t xml:space="preserve">2.2.1 </w:t>
            </w:r>
            <w:r w:rsidRPr="00834B86">
              <w:rPr>
                <w:rStyle w:val="af6"/>
                <w:rFonts w:ascii="宋体" w:eastAsia="宋体" w:hAnsi="宋体" w:cs="Times New Roman" w:hint="eastAsia"/>
                <w:noProof/>
              </w:rPr>
              <w:t>背景</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_Toc144363207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12</w:t>
            </w:r>
            <w:r w:rsidRPr="00834B86">
              <w:rPr>
                <w:rFonts w:ascii="宋体" w:eastAsia="宋体" w:hAnsi="宋体" w:cs="Times New Roman"/>
                <w:noProof/>
                <w:webHidden/>
              </w:rPr>
              <w:fldChar w:fldCharType="end"/>
            </w:r>
          </w:hyperlink>
        </w:p>
        <w:p w14:paraId="09E9D8C2"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08" w:history="1">
            <w:r w:rsidRPr="00834B86">
              <w:rPr>
                <w:rStyle w:val="af6"/>
                <w:rFonts w:ascii="宋体" w:eastAsia="宋体" w:hAnsi="宋体" w:cs="Times New Roman"/>
                <w:bCs/>
                <w:noProof/>
              </w:rPr>
              <w:t xml:space="preserve">2.2.2 </w:t>
            </w:r>
            <w:r w:rsidRPr="00834B86">
              <w:rPr>
                <w:rStyle w:val="af6"/>
                <w:rFonts w:ascii="宋体" w:eastAsia="宋体" w:hAnsi="宋体" w:cs="Times New Roman" w:hint="eastAsia"/>
                <w:bCs/>
                <w:noProof/>
              </w:rPr>
              <w:t>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_Toc144363208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13</w:t>
            </w:r>
            <w:r w:rsidRPr="00834B86">
              <w:rPr>
                <w:rFonts w:ascii="宋体" w:eastAsia="宋体" w:hAnsi="宋体" w:cs="Times New Roman"/>
                <w:noProof/>
                <w:webHidden/>
              </w:rPr>
              <w:fldChar w:fldCharType="end"/>
            </w:r>
          </w:hyperlink>
        </w:p>
        <w:p w14:paraId="6B2D5028" w14:textId="77777777" w:rsidR="00CC512B" w:rsidRPr="00834B86" w:rsidRDefault="00000000">
          <w:pPr>
            <w:pStyle w:val="TOC1"/>
            <w:tabs>
              <w:tab w:val="right" w:leader="dot" w:pos="8296"/>
            </w:tabs>
            <w:spacing w:line="360" w:lineRule="auto"/>
            <w:rPr>
              <w:rFonts w:ascii="宋体" w:eastAsia="宋体" w:hAnsi="宋体" w:cs="Times New Roman"/>
              <w:noProof/>
            </w:rPr>
          </w:pPr>
          <w:hyperlink w:anchor="_Toc144363209" w:history="1">
            <w:r w:rsidRPr="00834B86">
              <w:rPr>
                <w:rStyle w:val="af6"/>
                <w:rFonts w:ascii="宋体" w:eastAsia="宋体" w:hAnsi="宋体" w:cs="Times New Roman" w:hint="eastAsia"/>
                <w:noProof/>
              </w:rPr>
              <w:t>案例</w:t>
            </w:r>
            <w:r w:rsidRPr="00834B86">
              <w:rPr>
                <w:rStyle w:val="af6"/>
                <w:rFonts w:ascii="宋体" w:eastAsia="宋体" w:hAnsi="宋体" w:cs="Times New Roman"/>
                <w:noProof/>
              </w:rPr>
              <w:t>3 A</w:t>
            </w:r>
            <w:r w:rsidRPr="00834B86">
              <w:rPr>
                <w:rStyle w:val="af6"/>
                <w:rFonts w:ascii="宋体" w:eastAsia="宋体" w:hAnsi="宋体" w:cs="Times New Roman" w:hint="eastAsia"/>
                <w:noProof/>
              </w:rPr>
              <w:t>公司供应链优化升级之路</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_Toc144363209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15</w:t>
            </w:r>
            <w:r w:rsidRPr="00834B86">
              <w:rPr>
                <w:rFonts w:ascii="宋体" w:eastAsia="宋体" w:hAnsi="宋体" w:cs="Times New Roman"/>
                <w:noProof/>
                <w:webHidden/>
              </w:rPr>
              <w:fldChar w:fldCharType="end"/>
            </w:r>
          </w:hyperlink>
        </w:p>
        <w:p w14:paraId="44690BE3" w14:textId="77777777" w:rsidR="00CC512B" w:rsidRPr="00834B86" w:rsidRDefault="00000000">
          <w:pPr>
            <w:pStyle w:val="TOC2"/>
            <w:tabs>
              <w:tab w:val="right" w:leader="dot" w:pos="8296"/>
            </w:tabs>
            <w:spacing w:line="360" w:lineRule="auto"/>
            <w:rPr>
              <w:rFonts w:ascii="宋体" w:eastAsia="宋体" w:hAnsi="宋体" w:cs="Times New Roman"/>
              <w:noProof/>
            </w:rPr>
          </w:pPr>
          <w:hyperlink w:anchor="_Toc144363210" w:history="1">
            <w:r w:rsidRPr="00834B86">
              <w:rPr>
                <w:rStyle w:val="af6"/>
                <w:rFonts w:ascii="宋体" w:eastAsia="宋体" w:hAnsi="宋体" w:cs="Times New Roman"/>
                <w:noProof/>
              </w:rPr>
              <w:t>3.1</w:t>
            </w:r>
            <w:r w:rsidRPr="00834B86">
              <w:rPr>
                <w:rStyle w:val="af6"/>
                <w:rFonts w:ascii="宋体" w:eastAsia="宋体" w:hAnsi="宋体" w:cs="Times New Roman" w:hint="eastAsia"/>
                <w:noProof/>
              </w:rPr>
              <w:t>产销平衡问题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_Toc144363210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15</w:t>
            </w:r>
            <w:r w:rsidRPr="00834B86">
              <w:rPr>
                <w:rFonts w:ascii="宋体" w:eastAsia="宋体" w:hAnsi="宋体" w:cs="Times New Roman"/>
                <w:noProof/>
                <w:webHidden/>
              </w:rPr>
              <w:fldChar w:fldCharType="end"/>
            </w:r>
          </w:hyperlink>
        </w:p>
        <w:p w14:paraId="0CF9D8F6"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11" w:history="1">
            <w:r w:rsidRPr="00834B86">
              <w:rPr>
                <w:rStyle w:val="af6"/>
                <w:rFonts w:ascii="宋体" w:eastAsia="宋体" w:hAnsi="宋体" w:cs="Times New Roman"/>
                <w:noProof/>
              </w:rPr>
              <w:t xml:space="preserve">3.1.1 </w:t>
            </w:r>
            <w:r w:rsidRPr="00834B86">
              <w:rPr>
                <w:rStyle w:val="af6"/>
                <w:rFonts w:ascii="宋体" w:eastAsia="宋体" w:hAnsi="宋体" w:cs="Times New Roman" w:hint="eastAsia"/>
                <w:noProof/>
              </w:rPr>
              <w:t>背景</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_Toc144363211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15</w:t>
            </w:r>
            <w:r w:rsidRPr="00834B86">
              <w:rPr>
                <w:rFonts w:ascii="宋体" w:eastAsia="宋体" w:hAnsi="宋体" w:cs="Times New Roman"/>
                <w:noProof/>
                <w:webHidden/>
              </w:rPr>
              <w:fldChar w:fldCharType="end"/>
            </w:r>
          </w:hyperlink>
        </w:p>
        <w:p w14:paraId="68051282"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12" w:history="1">
            <w:r w:rsidRPr="00834B86">
              <w:rPr>
                <w:rStyle w:val="af6"/>
                <w:rFonts w:ascii="宋体" w:eastAsia="宋体" w:hAnsi="宋体" w:cs="Times New Roman"/>
                <w:noProof/>
              </w:rPr>
              <w:t xml:space="preserve">3.1.2 </w:t>
            </w:r>
            <w:r w:rsidRPr="00834B86">
              <w:rPr>
                <w:rStyle w:val="af6"/>
                <w:rFonts w:ascii="宋体" w:eastAsia="宋体" w:hAnsi="宋体" w:cs="Times New Roman" w:hint="eastAsia"/>
                <w:noProof/>
              </w:rPr>
              <w:t>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_Toc144363212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16</w:t>
            </w:r>
            <w:r w:rsidRPr="00834B86">
              <w:rPr>
                <w:rFonts w:ascii="宋体" w:eastAsia="宋体" w:hAnsi="宋体" w:cs="Times New Roman"/>
                <w:noProof/>
                <w:webHidden/>
              </w:rPr>
              <w:fldChar w:fldCharType="end"/>
            </w:r>
          </w:hyperlink>
        </w:p>
        <w:p w14:paraId="25A3E776" w14:textId="77777777" w:rsidR="00CC512B" w:rsidRPr="00834B86" w:rsidRDefault="00000000">
          <w:pPr>
            <w:pStyle w:val="TOC2"/>
            <w:tabs>
              <w:tab w:val="right" w:leader="dot" w:pos="8296"/>
            </w:tabs>
            <w:spacing w:line="360" w:lineRule="auto"/>
            <w:rPr>
              <w:rFonts w:ascii="宋体" w:eastAsia="宋体" w:hAnsi="宋体" w:cs="Times New Roman"/>
              <w:noProof/>
            </w:rPr>
          </w:pPr>
          <w:hyperlink w:anchor="_Toc144363213" w:history="1">
            <w:r w:rsidRPr="00834B86">
              <w:rPr>
                <w:rStyle w:val="af6"/>
                <w:rFonts w:ascii="宋体" w:eastAsia="宋体" w:hAnsi="宋体" w:cs="Times New Roman"/>
                <w:noProof/>
              </w:rPr>
              <w:t>3.2</w:t>
            </w:r>
            <w:r w:rsidRPr="00834B86">
              <w:rPr>
                <w:rStyle w:val="af6"/>
                <w:rFonts w:ascii="宋体" w:eastAsia="宋体" w:hAnsi="宋体" w:cs="Times New Roman" w:hint="eastAsia"/>
                <w:noProof/>
              </w:rPr>
              <w:t>零部件取货与运输问题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_Toc144363213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16</w:t>
            </w:r>
            <w:r w:rsidRPr="00834B86">
              <w:rPr>
                <w:rFonts w:ascii="宋体" w:eastAsia="宋体" w:hAnsi="宋体" w:cs="Times New Roman"/>
                <w:noProof/>
                <w:webHidden/>
              </w:rPr>
              <w:fldChar w:fldCharType="end"/>
            </w:r>
          </w:hyperlink>
        </w:p>
        <w:p w14:paraId="1BF3525E"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14" w:history="1">
            <w:r w:rsidRPr="00834B86">
              <w:rPr>
                <w:rStyle w:val="af6"/>
                <w:rFonts w:ascii="宋体" w:eastAsia="宋体" w:hAnsi="宋体" w:cs="Times New Roman"/>
                <w:noProof/>
              </w:rPr>
              <w:t xml:space="preserve">3.2.1 </w:t>
            </w:r>
            <w:r w:rsidRPr="00834B86">
              <w:rPr>
                <w:rStyle w:val="af6"/>
                <w:rFonts w:ascii="宋体" w:eastAsia="宋体" w:hAnsi="宋体" w:cs="Times New Roman" w:hint="eastAsia"/>
                <w:noProof/>
              </w:rPr>
              <w:t>背景</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_Toc144363214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16</w:t>
            </w:r>
            <w:r w:rsidRPr="00834B86">
              <w:rPr>
                <w:rFonts w:ascii="宋体" w:eastAsia="宋体" w:hAnsi="宋体" w:cs="Times New Roman"/>
                <w:noProof/>
                <w:webHidden/>
              </w:rPr>
              <w:fldChar w:fldCharType="end"/>
            </w:r>
          </w:hyperlink>
        </w:p>
        <w:p w14:paraId="60AB91F9" w14:textId="77777777" w:rsidR="00CC512B" w:rsidRPr="00834B86" w:rsidRDefault="00000000">
          <w:pPr>
            <w:pStyle w:val="TOC3"/>
            <w:tabs>
              <w:tab w:val="right" w:leader="dot" w:pos="8296"/>
            </w:tabs>
            <w:spacing w:line="360" w:lineRule="auto"/>
            <w:rPr>
              <w:rFonts w:ascii="宋体" w:eastAsia="宋体" w:hAnsi="宋体" w:cs="Times New Roman"/>
              <w:noProof/>
            </w:rPr>
          </w:pPr>
          <w:hyperlink w:anchor="_Toc144363215" w:history="1">
            <w:r w:rsidRPr="00834B86">
              <w:rPr>
                <w:rStyle w:val="af6"/>
                <w:rFonts w:ascii="宋体" w:eastAsia="宋体" w:hAnsi="宋体" w:cs="Times New Roman"/>
                <w:noProof/>
              </w:rPr>
              <w:t xml:space="preserve">3.2.2 </w:t>
            </w:r>
            <w:r w:rsidRPr="00834B86">
              <w:rPr>
                <w:rStyle w:val="af6"/>
                <w:rFonts w:ascii="宋体" w:eastAsia="宋体" w:hAnsi="宋体" w:cs="Times New Roman" w:hint="eastAsia"/>
                <w:noProof/>
              </w:rPr>
              <w:t>问题</w:t>
            </w:r>
            <w:r w:rsidRPr="00834B86">
              <w:rPr>
                <w:rFonts w:ascii="宋体" w:eastAsia="宋体" w:hAnsi="宋体" w:cs="Times New Roman"/>
                <w:noProof/>
                <w:webHidden/>
              </w:rPr>
              <w:tab/>
            </w:r>
            <w:r w:rsidRPr="00834B86">
              <w:rPr>
                <w:rFonts w:ascii="宋体" w:eastAsia="宋体" w:hAnsi="宋体" w:cs="Times New Roman"/>
                <w:noProof/>
                <w:webHidden/>
              </w:rPr>
              <w:fldChar w:fldCharType="begin"/>
            </w:r>
            <w:r w:rsidRPr="00834B86">
              <w:rPr>
                <w:rFonts w:ascii="宋体" w:eastAsia="宋体" w:hAnsi="宋体" w:cs="Times New Roman"/>
                <w:noProof/>
                <w:webHidden/>
              </w:rPr>
              <w:instrText xml:space="preserve"> PAGEREF _Toc144363215 \h </w:instrText>
            </w:r>
            <w:r w:rsidRPr="00834B86">
              <w:rPr>
                <w:rFonts w:ascii="宋体" w:eastAsia="宋体" w:hAnsi="宋体" w:cs="Times New Roman"/>
                <w:noProof/>
                <w:webHidden/>
              </w:rPr>
            </w:r>
            <w:r w:rsidRPr="00834B86">
              <w:rPr>
                <w:rFonts w:ascii="宋体" w:eastAsia="宋体" w:hAnsi="宋体" w:cs="Times New Roman"/>
                <w:noProof/>
                <w:webHidden/>
              </w:rPr>
              <w:fldChar w:fldCharType="separate"/>
            </w:r>
            <w:r w:rsidRPr="00834B86">
              <w:rPr>
                <w:rFonts w:ascii="宋体" w:eastAsia="宋体" w:hAnsi="宋体" w:cs="Times New Roman"/>
                <w:noProof/>
                <w:webHidden/>
              </w:rPr>
              <w:t>18</w:t>
            </w:r>
            <w:r w:rsidRPr="00834B86">
              <w:rPr>
                <w:rFonts w:ascii="宋体" w:eastAsia="宋体" w:hAnsi="宋体" w:cs="Times New Roman"/>
                <w:noProof/>
                <w:webHidden/>
              </w:rPr>
              <w:fldChar w:fldCharType="end"/>
            </w:r>
          </w:hyperlink>
        </w:p>
        <w:p w14:paraId="310BF5A5" w14:textId="77777777" w:rsidR="00CC512B" w:rsidRPr="00834B86" w:rsidRDefault="00000000">
          <w:pPr>
            <w:spacing w:line="360" w:lineRule="auto"/>
            <w:rPr>
              <w:rFonts w:ascii="宋体" w:eastAsia="宋体" w:hAnsi="宋体" w:cs="Times New Roman"/>
            </w:rPr>
          </w:pPr>
          <w:r w:rsidRPr="00834B86">
            <w:rPr>
              <w:rFonts w:ascii="宋体" w:eastAsia="宋体" w:hAnsi="宋体" w:cs="Times New Roman"/>
              <w:b/>
              <w:bCs/>
              <w:lang w:val="zh-CN"/>
            </w:rPr>
            <w:fldChar w:fldCharType="end"/>
          </w:r>
        </w:p>
      </w:sdtContent>
    </w:sdt>
    <w:p w14:paraId="32DB7BE8" w14:textId="77777777" w:rsidR="00CC512B" w:rsidRPr="00834B86" w:rsidRDefault="00CC512B">
      <w:pPr>
        <w:widowControl/>
        <w:spacing w:line="360" w:lineRule="auto"/>
        <w:jc w:val="center"/>
        <w:rPr>
          <w:rFonts w:ascii="宋体" w:eastAsia="宋体" w:hAnsi="宋体" w:cs="Times New Roman"/>
        </w:rPr>
      </w:pPr>
    </w:p>
    <w:p w14:paraId="292D3944" w14:textId="77777777" w:rsidR="00CC512B" w:rsidRPr="00834B86" w:rsidRDefault="00CC512B">
      <w:pPr>
        <w:widowControl/>
        <w:spacing w:line="360" w:lineRule="auto"/>
        <w:jc w:val="left"/>
        <w:rPr>
          <w:rFonts w:ascii="宋体" w:eastAsia="宋体" w:hAnsi="宋体" w:cs="Times New Roman"/>
          <w:b/>
          <w:kern w:val="44"/>
          <w:sz w:val="44"/>
        </w:rPr>
      </w:pPr>
    </w:p>
    <w:p w14:paraId="46FAB234" w14:textId="77777777" w:rsidR="00CC512B" w:rsidRDefault="00000000">
      <w:pPr>
        <w:pStyle w:val="1"/>
        <w:jc w:val="center"/>
      </w:pPr>
      <w:r>
        <w:br w:type="page"/>
      </w:r>
      <w:bookmarkStart w:id="0" w:name="_Toc144363194"/>
      <w:bookmarkStart w:id="1" w:name="_Toc81864039"/>
      <w:r>
        <w:lastRenderedPageBreak/>
        <w:t>引言</w:t>
      </w:r>
      <w:bookmarkEnd w:id="0"/>
    </w:p>
    <w:p w14:paraId="1A936031"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宜宾市位于四川省南部，处于川、滇、黔三省结合部，金沙江、岷江、长江汇流地带。市境东邻泸州市，南接云南昭通市，西依凉山彝族自治州和乐山市，北靠自贡市，全市辖区面积</w:t>
      </w:r>
      <w:r>
        <w:rPr>
          <w:rFonts w:ascii="Times New Roman" w:eastAsia="宋体" w:hAnsi="Times New Roman" w:cs="Times New Roman"/>
          <w:sz w:val="24"/>
          <w:szCs w:val="24"/>
          <w:lang w:eastAsia="zh-Hans"/>
        </w:rPr>
        <w:t xml:space="preserve"> 13283 </w:t>
      </w:r>
      <w:r>
        <w:rPr>
          <w:rFonts w:ascii="Times New Roman" w:eastAsia="宋体" w:hAnsi="Times New Roman" w:cs="Times New Roman"/>
          <w:sz w:val="24"/>
          <w:szCs w:val="24"/>
          <w:lang w:eastAsia="zh-Hans"/>
        </w:rPr>
        <w:t>平方千米。</w:t>
      </w:r>
      <w:r>
        <w:rPr>
          <w:rFonts w:ascii="Times New Roman" w:eastAsia="宋体" w:hAnsi="Times New Roman" w:cs="Times New Roman"/>
          <w:sz w:val="24"/>
          <w:szCs w:val="24"/>
          <w:lang w:eastAsia="zh-Hans"/>
        </w:rPr>
        <w:t xml:space="preserve">2022 </w:t>
      </w:r>
      <w:r>
        <w:rPr>
          <w:rFonts w:ascii="Times New Roman" w:eastAsia="宋体" w:hAnsi="Times New Roman" w:cs="Times New Roman"/>
          <w:sz w:val="24"/>
          <w:szCs w:val="24"/>
          <w:lang w:eastAsia="zh-Hans"/>
        </w:rPr>
        <w:t>年，宜宾市辖翠屏区、南溪区、叙州区、江安县、长宁县、高县、筠连县、珙县、兴文县、屏山县，共</w:t>
      </w:r>
      <w:r>
        <w:rPr>
          <w:rFonts w:ascii="Times New Roman" w:eastAsia="宋体" w:hAnsi="Times New Roman" w:cs="Times New Roman"/>
          <w:sz w:val="24"/>
          <w:szCs w:val="24"/>
          <w:lang w:eastAsia="zh-Hans"/>
        </w:rPr>
        <w:t xml:space="preserve">3 </w:t>
      </w:r>
      <w:r>
        <w:rPr>
          <w:rFonts w:ascii="Times New Roman" w:eastAsia="宋体" w:hAnsi="Times New Roman" w:cs="Times New Roman"/>
          <w:sz w:val="24"/>
          <w:szCs w:val="24"/>
          <w:lang w:eastAsia="zh-Hans"/>
        </w:rPr>
        <w:t>区</w:t>
      </w:r>
      <w:r>
        <w:rPr>
          <w:rFonts w:ascii="Times New Roman" w:eastAsia="宋体" w:hAnsi="Times New Roman" w:cs="Times New Roman"/>
          <w:sz w:val="24"/>
          <w:szCs w:val="24"/>
          <w:lang w:eastAsia="zh-Hans"/>
        </w:rPr>
        <w:t xml:space="preserve"> 7</w:t>
      </w:r>
      <w:r>
        <w:rPr>
          <w:rFonts w:ascii="Times New Roman" w:eastAsia="宋体" w:hAnsi="Times New Roman" w:cs="Times New Roman"/>
          <w:sz w:val="24"/>
          <w:szCs w:val="24"/>
          <w:lang w:eastAsia="zh-Hans"/>
        </w:rPr>
        <w:t>县</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四川首个省级新区三江新区</w:t>
      </w:r>
      <w:r>
        <w:rPr>
          <w:rFonts w:ascii="Times New Roman" w:eastAsia="宋体" w:hAnsi="Times New Roman" w:cs="Times New Roman" w:hint="eastAsia"/>
          <w:sz w:val="24"/>
          <w:szCs w:val="24"/>
          <w:lang w:eastAsia="zh-Hans"/>
        </w:rPr>
        <w:t>位于宜宾市境内，拥有国家级经开区、综合保税区、国家临时开放口岸、四川自贸试验区协同区等开放开发平台</w:t>
      </w:r>
      <w:r>
        <w:rPr>
          <w:rFonts w:ascii="Times New Roman" w:eastAsia="宋体" w:hAnsi="Times New Roman" w:cs="Times New Roman"/>
          <w:sz w:val="24"/>
          <w:szCs w:val="24"/>
          <w:lang w:eastAsia="zh-Hans"/>
        </w:rPr>
        <w:t>。宜宾历史悠久，气候温和、四季分明，有</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万里长江第一城、中国酒都、中国竹都</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之称。</w:t>
      </w:r>
      <w:r>
        <w:rPr>
          <w:rFonts w:ascii="Times New Roman" w:eastAsia="宋体" w:hAnsi="Times New Roman" w:cs="Times New Roman"/>
          <w:sz w:val="24"/>
          <w:szCs w:val="24"/>
          <w:lang w:eastAsia="zh-Hans"/>
        </w:rPr>
        <w:t>2022</w:t>
      </w:r>
      <w:r>
        <w:rPr>
          <w:rFonts w:ascii="Times New Roman" w:eastAsia="宋体" w:hAnsi="Times New Roman" w:cs="Times New Roman"/>
          <w:sz w:val="24"/>
          <w:szCs w:val="24"/>
          <w:lang w:eastAsia="zh-Hans"/>
        </w:rPr>
        <w:t>年末全市户籍总人口</w:t>
      </w:r>
      <w:r>
        <w:rPr>
          <w:rFonts w:ascii="Times New Roman" w:eastAsia="宋体" w:hAnsi="Times New Roman" w:cs="Times New Roman"/>
          <w:sz w:val="24"/>
          <w:szCs w:val="24"/>
          <w:lang w:eastAsia="zh-Hans"/>
        </w:rPr>
        <w:t>548.4</w:t>
      </w:r>
      <w:r>
        <w:rPr>
          <w:rFonts w:ascii="Times New Roman" w:eastAsia="宋体" w:hAnsi="Times New Roman" w:cs="Times New Roman"/>
          <w:sz w:val="24"/>
          <w:szCs w:val="24"/>
          <w:lang w:eastAsia="zh-Hans"/>
        </w:rPr>
        <w:t>万人，全年地区生产总值（</w:t>
      </w:r>
      <w:r>
        <w:rPr>
          <w:rFonts w:ascii="Times New Roman" w:eastAsia="宋体" w:hAnsi="Times New Roman" w:cs="Times New Roman"/>
          <w:sz w:val="24"/>
          <w:szCs w:val="24"/>
          <w:lang w:eastAsia="zh-Hans"/>
        </w:rPr>
        <w:t>GDP</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3427.84</w:t>
      </w:r>
      <w:r>
        <w:rPr>
          <w:rFonts w:ascii="Times New Roman" w:eastAsia="宋体" w:hAnsi="Times New Roman" w:cs="Times New Roman"/>
          <w:sz w:val="24"/>
          <w:szCs w:val="24"/>
          <w:lang w:eastAsia="zh-Hans"/>
        </w:rPr>
        <w:t>亿元。</w:t>
      </w:r>
    </w:p>
    <w:p w14:paraId="22DDEF7A"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宜宾是川渝滇黔接合部核心区域，处于成都、重庆、昆明、贵阳</w:t>
      </w:r>
      <w:r>
        <w:rPr>
          <w:rFonts w:ascii="Times New Roman" w:eastAsia="宋体" w:hAnsi="Times New Roman" w:cs="Times New Roman"/>
          <w:sz w:val="24"/>
          <w:szCs w:val="24"/>
          <w:lang w:eastAsia="zh-Hans"/>
        </w:rPr>
        <w:t>4</w:t>
      </w:r>
      <w:r>
        <w:rPr>
          <w:rFonts w:ascii="Times New Roman" w:eastAsia="宋体" w:hAnsi="Times New Roman" w:cs="Times New Roman"/>
          <w:sz w:val="24"/>
          <w:szCs w:val="24"/>
          <w:lang w:eastAsia="zh-Hans"/>
        </w:rPr>
        <w:t>个省会城市的几何中心位置，具有直接辐射吸纳</w:t>
      </w:r>
      <w:r>
        <w:rPr>
          <w:rFonts w:ascii="Times New Roman" w:eastAsia="宋体" w:hAnsi="Times New Roman" w:cs="Times New Roman"/>
          <w:sz w:val="24"/>
          <w:szCs w:val="24"/>
          <w:lang w:eastAsia="zh-Hans"/>
        </w:rPr>
        <w:t>3</w:t>
      </w:r>
      <w:r>
        <w:rPr>
          <w:rFonts w:ascii="Times New Roman" w:eastAsia="宋体" w:hAnsi="Times New Roman" w:cs="Times New Roman"/>
          <w:sz w:val="24"/>
          <w:szCs w:val="24"/>
          <w:lang w:eastAsia="zh-Hans"/>
        </w:rPr>
        <w:t>省</w:t>
      </w:r>
      <w:r>
        <w:rPr>
          <w:rFonts w:ascii="Times New Roman" w:eastAsia="宋体" w:hAnsi="Times New Roman" w:cs="Times New Roman"/>
          <w:sz w:val="24"/>
          <w:szCs w:val="24"/>
          <w:lang w:eastAsia="zh-Hans"/>
        </w:rPr>
        <w:t>8</w:t>
      </w:r>
      <w:r>
        <w:rPr>
          <w:rFonts w:ascii="Times New Roman" w:eastAsia="宋体" w:hAnsi="Times New Roman" w:cs="Times New Roman"/>
          <w:sz w:val="24"/>
          <w:szCs w:val="24"/>
          <w:lang w:eastAsia="zh-Hans"/>
        </w:rPr>
        <w:t>市</w:t>
      </w:r>
      <w:r>
        <w:rPr>
          <w:rFonts w:ascii="Times New Roman" w:eastAsia="宋体" w:hAnsi="Times New Roman" w:cs="Times New Roman"/>
          <w:sz w:val="24"/>
          <w:szCs w:val="24"/>
          <w:lang w:eastAsia="zh-Hans"/>
        </w:rPr>
        <w:t>3700</w:t>
      </w:r>
      <w:r>
        <w:rPr>
          <w:rFonts w:ascii="Times New Roman" w:eastAsia="宋体" w:hAnsi="Times New Roman" w:cs="Times New Roman"/>
          <w:sz w:val="24"/>
          <w:szCs w:val="24"/>
          <w:lang w:eastAsia="zh-Hans"/>
        </w:rPr>
        <w:t>万人的优势，宜宾是国家重点建设的</w:t>
      </w:r>
      <w:r>
        <w:rPr>
          <w:rFonts w:ascii="Times New Roman" w:eastAsia="宋体" w:hAnsi="Times New Roman" w:cs="Times New Roman"/>
          <w:sz w:val="24"/>
          <w:szCs w:val="24"/>
          <w:lang w:eastAsia="zh-Hans"/>
        </w:rPr>
        <w:t>63</w:t>
      </w:r>
      <w:r>
        <w:rPr>
          <w:rFonts w:ascii="Times New Roman" w:eastAsia="宋体" w:hAnsi="Times New Roman" w:cs="Times New Roman"/>
          <w:sz w:val="24"/>
          <w:szCs w:val="24"/>
          <w:lang w:eastAsia="zh-Hans"/>
        </w:rPr>
        <w:t>个全国综合交通枢纽城市、</w:t>
      </w:r>
      <w:r>
        <w:rPr>
          <w:rFonts w:ascii="Times New Roman" w:eastAsia="宋体" w:hAnsi="Times New Roman" w:cs="Times New Roman"/>
          <w:sz w:val="24"/>
          <w:szCs w:val="24"/>
          <w:lang w:eastAsia="zh-Hans"/>
        </w:rPr>
        <w:t>50</w:t>
      </w:r>
      <w:r>
        <w:rPr>
          <w:rFonts w:ascii="Times New Roman" w:eastAsia="宋体" w:hAnsi="Times New Roman" w:cs="Times New Roman"/>
          <w:sz w:val="24"/>
          <w:szCs w:val="24"/>
          <w:lang w:eastAsia="zh-Hans"/>
        </w:rPr>
        <w:t>个铁路枢纽之一；是西部陆海新通道西线主通道〔成都经泸州</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宜宾</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、百色至北部湾出海口〕的重要节点；是长江经济带沿江绿色发展轴的重要节点和上游成渝城市群的重要组成。国家综合立体交通网</w:t>
      </w:r>
      <w:r>
        <w:rPr>
          <w:rFonts w:ascii="Times New Roman" w:eastAsia="宋体" w:hAnsi="Times New Roman" w:cs="Times New Roman"/>
          <w:sz w:val="24"/>
          <w:szCs w:val="24"/>
          <w:lang w:eastAsia="zh-Hans"/>
        </w:rPr>
        <w:t xml:space="preserve">“6 </w:t>
      </w:r>
      <w:r>
        <w:rPr>
          <w:rFonts w:ascii="Times New Roman" w:eastAsia="宋体" w:hAnsi="Times New Roman" w:cs="Times New Roman"/>
          <w:sz w:val="24"/>
          <w:szCs w:val="24"/>
          <w:lang w:eastAsia="zh-Hans"/>
        </w:rPr>
        <w:t>轴</w:t>
      </w:r>
      <w:r>
        <w:rPr>
          <w:rFonts w:ascii="Times New Roman" w:eastAsia="宋体" w:hAnsi="Times New Roman" w:cs="Times New Roman"/>
          <w:sz w:val="24"/>
          <w:szCs w:val="24"/>
          <w:lang w:eastAsia="zh-Hans"/>
        </w:rPr>
        <w:t xml:space="preserve"> 7 </w:t>
      </w:r>
      <w:r>
        <w:rPr>
          <w:rFonts w:ascii="Times New Roman" w:eastAsia="宋体" w:hAnsi="Times New Roman" w:cs="Times New Roman"/>
          <w:sz w:val="24"/>
          <w:szCs w:val="24"/>
          <w:lang w:eastAsia="zh-Hans"/>
        </w:rPr>
        <w:t>廊</w:t>
      </w:r>
      <w:r>
        <w:rPr>
          <w:rFonts w:ascii="Times New Roman" w:eastAsia="宋体" w:hAnsi="Times New Roman" w:cs="Times New Roman"/>
          <w:sz w:val="24"/>
          <w:szCs w:val="24"/>
          <w:lang w:eastAsia="zh-Hans"/>
        </w:rPr>
        <w:t xml:space="preserve"> 8 </w:t>
      </w:r>
      <w:r>
        <w:rPr>
          <w:rFonts w:ascii="Times New Roman" w:eastAsia="宋体" w:hAnsi="Times New Roman" w:cs="Times New Roman"/>
          <w:sz w:val="24"/>
          <w:szCs w:val="24"/>
          <w:lang w:eastAsia="zh-Hans"/>
        </w:rPr>
        <w:t>通道</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主骨架中，有两轴</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长三角</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成渝主轴、粤港澳</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成渝主轴</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、两廊</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西部陆海走廊、成渝昆走廊</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在宜宾交会。宜宾港是国家确立的内河主要港口，被交通运输部定位为长江干支中转港口，境内长江、金沙江、岷江均为规划的国家高等级航道。</w:t>
      </w:r>
    </w:p>
    <w:p w14:paraId="3738CD39" w14:textId="77777777" w:rsidR="00CC512B" w:rsidRDefault="00000000">
      <w:pPr>
        <w:spacing w:line="360" w:lineRule="auto"/>
        <w:ind w:firstLine="480"/>
        <w:rPr>
          <w:rFonts w:ascii="Times New Roman" w:eastAsia="宋体" w:hAnsi="Times New Roman" w:cs="Times New Roman"/>
          <w:sz w:val="24"/>
          <w:szCs w:val="24"/>
          <w:lang w:eastAsia="zh-Hans"/>
        </w:rPr>
        <w:sectPr w:rsidR="00CC512B">
          <w:footerReference w:type="default" r:id="rId7"/>
          <w:pgSz w:w="11906" w:h="16838"/>
          <w:pgMar w:top="1440" w:right="1800" w:bottom="1440" w:left="1800" w:header="851" w:footer="992" w:gutter="0"/>
          <w:pgNumType w:fmt="lowerRoman" w:start="1"/>
          <w:cols w:space="425"/>
          <w:docGrid w:type="lines" w:linePitch="312"/>
        </w:sectPr>
      </w:pPr>
      <w:r>
        <w:rPr>
          <w:rFonts w:ascii="Times New Roman" w:eastAsia="宋体" w:hAnsi="Times New Roman" w:cs="Times New Roman"/>
          <w:sz w:val="24"/>
          <w:szCs w:val="24"/>
          <w:lang w:eastAsia="zh-Hans"/>
        </w:rPr>
        <w:t>物流业是支撑国民经济社会发展的基础性、战略性、先导性产业，是推动经济高质量发展的重要载体</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为认真贯彻习近平总书记新发展理念，适应新形势、把握新机遇，</w:t>
      </w:r>
      <w:r>
        <w:rPr>
          <w:rFonts w:ascii="Times New Roman" w:eastAsia="宋体" w:hAnsi="Times New Roman" w:cs="Times New Roman" w:hint="eastAsia"/>
          <w:sz w:val="24"/>
          <w:szCs w:val="24"/>
          <w:lang w:eastAsia="zh-Hans"/>
        </w:rPr>
        <w:t>促进宜宾</w:t>
      </w:r>
      <w:r>
        <w:rPr>
          <w:rFonts w:ascii="Times New Roman" w:eastAsia="宋体" w:hAnsi="Times New Roman" w:cs="Times New Roman"/>
          <w:sz w:val="24"/>
          <w:szCs w:val="24"/>
          <w:lang w:eastAsia="zh-Hans"/>
        </w:rPr>
        <w:t>主动融入</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双循环</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、唱好</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双城记</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w:t>
      </w:r>
      <w:r>
        <w:rPr>
          <w:rFonts w:ascii="Times New Roman" w:eastAsia="宋体" w:hAnsi="Times New Roman" w:cs="Times New Roman" w:hint="eastAsia"/>
          <w:sz w:val="24"/>
          <w:szCs w:val="24"/>
          <w:lang w:eastAsia="zh-Hans"/>
        </w:rPr>
        <w:t>推动</w:t>
      </w:r>
      <w:r>
        <w:rPr>
          <w:rFonts w:ascii="Times New Roman" w:eastAsia="宋体" w:hAnsi="Times New Roman" w:cs="Times New Roman"/>
          <w:sz w:val="24"/>
          <w:szCs w:val="24"/>
          <w:lang w:eastAsia="zh-Hans"/>
        </w:rPr>
        <w:t>宜宾国家区域中心城市建设</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如何</w:t>
      </w:r>
      <w:r>
        <w:rPr>
          <w:rFonts w:ascii="Times New Roman" w:eastAsia="宋体" w:hAnsi="Times New Roman" w:cs="Times New Roman" w:hint="eastAsia"/>
          <w:sz w:val="24"/>
          <w:szCs w:val="24"/>
          <w:lang w:eastAsia="zh-Hans"/>
        </w:rPr>
        <w:t>更好地</w:t>
      </w:r>
      <w:r>
        <w:rPr>
          <w:rFonts w:ascii="Times New Roman" w:eastAsia="宋体" w:hAnsi="Times New Roman" w:cs="Times New Roman"/>
          <w:sz w:val="24"/>
          <w:szCs w:val="24"/>
          <w:lang w:eastAsia="zh-Hans"/>
        </w:rPr>
        <w:t>发展宜宾现代物流业，</w:t>
      </w:r>
      <w:r>
        <w:rPr>
          <w:rFonts w:ascii="Times New Roman" w:eastAsia="宋体" w:hAnsi="Times New Roman" w:cs="Times New Roman" w:hint="eastAsia"/>
          <w:sz w:val="24"/>
          <w:szCs w:val="24"/>
          <w:lang w:eastAsia="zh-Hans"/>
        </w:rPr>
        <w:t>完善</w:t>
      </w:r>
      <w:r>
        <w:rPr>
          <w:rFonts w:ascii="Times New Roman" w:eastAsia="宋体" w:hAnsi="Times New Roman" w:cs="Times New Roman"/>
          <w:sz w:val="24"/>
          <w:szCs w:val="24"/>
          <w:lang w:eastAsia="zh-Hans"/>
        </w:rPr>
        <w:t>宜宾现代流通体系</w:t>
      </w:r>
      <w:r>
        <w:rPr>
          <w:rFonts w:ascii="Times New Roman" w:eastAsia="宋体" w:hAnsi="Times New Roman" w:cs="Times New Roman" w:hint="eastAsia"/>
          <w:sz w:val="24"/>
          <w:szCs w:val="24"/>
          <w:lang w:eastAsia="zh-Hans"/>
        </w:rPr>
        <w:t>，通过物流业</w:t>
      </w:r>
      <w:r>
        <w:rPr>
          <w:rFonts w:ascii="Times New Roman" w:eastAsia="宋体" w:hAnsi="Times New Roman" w:cs="Times New Roman"/>
          <w:sz w:val="24"/>
          <w:szCs w:val="24"/>
          <w:lang w:eastAsia="zh-Hans"/>
        </w:rPr>
        <w:t>带动相关产业、经济的发展，</w:t>
      </w:r>
      <w:r>
        <w:rPr>
          <w:rFonts w:ascii="Times New Roman" w:eastAsia="宋体" w:hAnsi="Times New Roman" w:cs="Times New Roman" w:hint="eastAsia"/>
          <w:sz w:val="24"/>
          <w:szCs w:val="24"/>
          <w:lang w:eastAsia="zh-Hans"/>
        </w:rPr>
        <w:t>进一步</w:t>
      </w:r>
      <w:r>
        <w:rPr>
          <w:rFonts w:ascii="Times New Roman" w:eastAsia="宋体" w:hAnsi="Times New Roman" w:cs="Times New Roman"/>
          <w:sz w:val="24"/>
          <w:szCs w:val="24"/>
          <w:lang w:eastAsia="zh-Hans"/>
        </w:rPr>
        <w:t>增强宜宾经济综合实力和核心竞争力，成为</w:t>
      </w:r>
      <w:r>
        <w:rPr>
          <w:rFonts w:ascii="Times New Roman" w:eastAsia="宋体" w:hAnsi="Times New Roman" w:cs="Times New Roman" w:hint="eastAsia"/>
          <w:sz w:val="24"/>
          <w:szCs w:val="24"/>
          <w:lang w:eastAsia="zh-Hans"/>
        </w:rPr>
        <w:t>当下地方政府和企业面临的重要课题。</w:t>
      </w:r>
    </w:p>
    <w:p w14:paraId="1925DC80" w14:textId="77777777" w:rsidR="00CC512B" w:rsidRDefault="00000000">
      <w:pPr>
        <w:pStyle w:val="1"/>
        <w:rPr>
          <w:rFonts w:ascii="Times New Roman" w:hAnsi="Times New Roman" w:cs="Times New Roman"/>
        </w:rPr>
      </w:pPr>
      <w:bookmarkStart w:id="2" w:name="_Toc144363195"/>
      <w:r>
        <w:rPr>
          <w:rFonts w:ascii="Times New Roman" w:hAnsi="Times New Roman" w:cs="Times New Roman"/>
        </w:rPr>
        <w:lastRenderedPageBreak/>
        <w:t>案例</w:t>
      </w:r>
      <w:r>
        <w:rPr>
          <w:rFonts w:ascii="Times New Roman" w:hAnsi="Times New Roman" w:cs="Times New Roman"/>
        </w:rPr>
        <w:t>1</w:t>
      </w:r>
      <w:r>
        <w:rPr>
          <w:rFonts w:ascii="Times New Roman" w:hAnsi="Times New Roman" w:cs="Times New Roman"/>
        </w:rPr>
        <w:t>多式联运</w:t>
      </w:r>
      <w:r>
        <w:rPr>
          <w:rFonts w:ascii="Times New Roman" w:hAnsi="Times New Roman" w:cs="Times New Roman" w:hint="eastAsia"/>
        </w:rPr>
        <w:t>物流体系协同融合发展之路</w:t>
      </w:r>
      <w:bookmarkEnd w:id="2"/>
    </w:p>
    <w:p w14:paraId="5C88D757" w14:textId="77777777" w:rsidR="00CC512B" w:rsidRDefault="00000000">
      <w:pPr>
        <w:pStyle w:val="2"/>
        <w:rPr>
          <w:rFonts w:ascii="Times New Roman" w:hAnsi="Times New Roman" w:cs="Times New Roman"/>
        </w:rPr>
      </w:pPr>
      <w:bookmarkStart w:id="3" w:name="_Toc144363196"/>
      <w:r>
        <w:rPr>
          <w:rFonts w:ascii="Times New Roman" w:hAnsi="Times New Roman" w:cs="Times New Roman"/>
        </w:rPr>
        <w:t>1.1</w:t>
      </w:r>
      <w:r>
        <w:rPr>
          <w:rFonts w:ascii="Times New Roman" w:hAnsi="Times New Roman" w:cs="Times New Roman"/>
        </w:rPr>
        <w:t>多式联运体系</w:t>
      </w:r>
      <w:r>
        <w:rPr>
          <w:rFonts w:ascii="Times New Roman" w:hAnsi="Times New Roman" w:cs="Times New Roman" w:hint="eastAsia"/>
        </w:rPr>
        <w:t>的协同发展问题</w:t>
      </w:r>
      <w:bookmarkEnd w:id="3"/>
    </w:p>
    <w:p w14:paraId="08BA1155" w14:textId="77777777" w:rsidR="00CC512B" w:rsidRDefault="00000000">
      <w:pPr>
        <w:pStyle w:val="3"/>
        <w:rPr>
          <w:rFonts w:ascii="Times New Roman" w:hAnsi="Times New Roman" w:cs="Times New Roman"/>
        </w:rPr>
      </w:pPr>
      <w:bookmarkStart w:id="4" w:name="_Toc144363197"/>
      <w:r>
        <w:rPr>
          <w:rFonts w:ascii="Times New Roman" w:hAnsi="Times New Roman" w:cs="Times New Roman"/>
        </w:rPr>
        <w:t>1.1.1</w:t>
      </w:r>
      <w:r>
        <w:rPr>
          <w:rFonts w:ascii="Times New Roman" w:hAnsi="Times New Roman" w:cs="Times New Roman"/>
        </w:rPr>
        <w:t>背景</w:t>
      </w:r>
      <w:bookmarkEnd w:id="4"/>
    </w:p>
    <w:p w14:paraId="65378C7E"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宜宾是以四川省内以水、陆、空的综合立体交通网络著称的川南交通枢纽城市。地处长江黄金水道的起点、川滇黔区域的战略要地。</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铁公水空</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立体交通体系配套，处于国家交通规划中南北干线和长江东西轴线的交汇点，是全国性综合交通枢纽。有</w:t>
      </w:r>
      <w:r>
        <w:rPr>
          <w:rFonts w:ascii="Times New Roman" w:eastAsia="宋体" w:hAnsi="Times New Roman" w:cs="Times New Roman"/>
          <w:sz w:val="24"/>
          <w:szCs w:val="24"/>
          <w:lang w:eastAsia="zh-Hans"/>
        </w:rPr>
        <w:t>4</w:t>
      </w:r>
      <w:r>
        <w:rPr>
          <w:rFonts w:ascii="Times New Roman" w:eastAsia="宋体" w:hAnsi="Times New Roman" w:cs="Times New Roman"/>
          <w:sz w:val="24"/>
          <w:szCs w:val="24"/>
          <w:lang w:eastAsia="zh-Hans"/>
        </w:rPr>
        <w:t>条高速铁路交汇，是全国</w:t>
      </w:r>
      <w:r>
        <w:rPr>
          <w:rFonts w:ascii="Times New Roman" w:eastAsia="宋体" w:hAnsi="Times New Roman" w:cs="Times New Roman"/>
          <w:sz w:val="24"/>
          <w:szCs w:val="24"/>
          <w:lang w:eastAsia="zh-Hans"/>
        </w:rPr>
        <w:t>50</w:t>
      </w:r>
      <w:r>
        <w:rPr>
          <w:rFonts w:ascii="Times New Roman" w:eastAsia="宋体" w:hAnsi="Times New Roman" w:cs="Times New Roman"/>
          <w:sz w:val="24"/>
          <w:szCs w:val="24"/>
          <w:lang w:eastAsia="zh-Hans"/>
        </w:rPr>
        <w:t>个铁路枢纽之一；有</w:t>
      </w:r>
      <w:r>
        <w:rPr>
          <w:rFonts w:ascii="Times New Roman" w:eastAsia="宋体" w:hAnsi="Times New Roman" w:cs="Times New Roman"/>
          <w:sz w:val="24"/>
          <w:szCs w:val="24"/>
          <w:lang w:eastAsia="zh-Hans"/>
        </w:rPr>
        <w:t>12</w:t>
      </w:r>
      <w:r>
        <w:rPr>
          <w:rFonts w:ascii="Times New Roman" w:eastAsia="宋体" w:hAnsi="Times New Roman" w:cs="Times New Roman"/>
          <w:sz w:val="24"/>
          <w:szCs w:val="24"/>
          <w:lang w:eastAsia="zh-Hans"/>
        </w:rPr>
        <w:t>条高速公路交汇；有通往全国</w:t>
      </w:r>
      <w:r>
        <w:rPr>
          <w:rFonts w:ascii="Times New Roman" w:eastAsia="宋体" w:hAnsi="Times New Roman" w:cs="Times New Roman"/>
          <w:sz w:val="24"/>
          <w:szCs w:val="24"/>
          <w:lang w:eastAsia="zh-Hans"/>
        </w:rPr>
        <w:t>17</w:t>
      </w:r>
      <w:r>
        <w:rPr>
          <w:rFonts w:ascii="Times New Roman" w:eastAsia="宋体" w:hAnsi="Times New Roman" w:cs="Times New Roman"/>
          <w:sz w:val="24"/>
          <w:szCs w:val="24"/>
          <w:lang w:eastAsia="zh-Hans"/>
        </w:rPr>
        <w:t>个城市的空中航线，是川滇黔区域的航空桥梁；有四川最大内河综合枢纽港之一的四川宜宾港，是国家规划的长江上游航运物流中心、长江六大重要枢纽港之一，长江航道</w:t>
      </w:r>
      <w:r>
        <w:rPr>
          <w:rFonts w:ascii="Times New Roman" w:eastAsia="宋体" w:hAnsi="Times New Roman" w:cs="Times New Roman"/>
          <w:sz w:val="24"/>
          <w:szCs w:val="24"/>
          <w:lang w:eastAsia="zh-Hans"/>
        </w:rPr>
        <w:t>1500</w:t>
      </w:r>
      <w:r>
        <w:rPr>
          <w:rFonts w:ascii="Times New Roman" w:eastAsia="宋体" w:hAnsi="Times New Roman" w:cs="Times New Roman"/>
          <w:sz w:val="24"/>
          <w:szCs w:val="24"/>
          <w:lang w:eastAsia="zh-Hans"/>
        </w:rPr>
        <w:t>吨级船舶常年昼夜通航、丰水期可达</w:t>
      </w:r>
      <w:r>
        <w:rPr>
          <w:rFonts w:ascii="Times New Roman" w:eastAsia="宋体" w:hAnsi="Times New Roman" w:cs="Times New Roman"/>
          <w:sz w:val="24"/>
          <w:szCs w:val="24"/>
          <w:lang w:eastAsia="zh-Hans"/>
        </w:rPr>
        <w:t>8000</w:t>
      </w:r>
      <w:r>
        <w:rPr>
          <w:rFonts w:ascii="Times New Roman" w:eastAsia="宋体" w:hAnsi="Times New Roman" w:cs="Times New Roman"/>
          <w:sz w:val="24"/>
          <w:szCs w:val="24"/>
          <w:lang w:eastAsia="zh-Hans"/>
        </w:rPr>
        <w:t>吨以上。</w:t>
      </w:r>
    </w:p>
    <w:p w14:paraId="1F15BAD5"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截止</w:t>
      </w:r>
      <w:r>
        <w:rPr>
          <w:rFonts w:ascii="Times New Roman" w:eastAsia="宋体" w:hAnsi="Times New Roman" w:cs="Times New Roman"/>
          <w:sz w:val="24"/>
          <w:szCs w:val="24"/>
          <w:lang w:eastAsia="zh-Hans"/>
        </w:rPr>
        <w:t>2020</w:t>
      </w:r>
      <w:r>
        <w:rPr>
          <w:rFonts w:ascii="Times New Roman" w:eastAsia="宋体" w:hAnsi="Times New Roman" w:cs="Times New Roman"/>
          <w:sz w:val="24"/>
          <w:szCs w:val="24"/>
          <w:lang w:eastAsia="zh-Hans"/>
        </w:rPr>
        <w:t>年底，全市公路网总里程</w:t>
      </w:r>
      <w:r>
        <w:rPr>
          <w:rFonts w:ascii="Times New Roman" w:eastAsia="宋体" w:hAnsi="Times New Roman" w:cs="Times New Roman"/>
          <w:sz w:val="24"/>
          <w:szCs w:val="24"/>
          <w:lang w:eastAsia="zh-Hans"/>
        </w:rPr>
        <w:t>25000</w:t>
      </w:r>
      <w:r>
        <w:rPr>
          <w:rFonts w:ascii="Times New Roman" w:eastAsia="宋体" w:hAnsi="Times New Roman" w:cs="Times New Roman"/>
          <w:sz w:val="24"/>
          <w:szCs w:val="24"/>
          <w:lang w:eastAsia="zh-Hans"/>
        </w:rPr>
        <w:t>公里，全年公路货物运输量</w:t>
      </w:r>
      <w:r>
        <w:rPr>
          <w:rFonts w:ascii="Times New Roman" w:eastAsia="宋体" w:hAnsi="Times New Roman" w:cs="Times New Roman"/>
          <w:sz w:val="24"/>
          <w:szCs w:val="24"/>
          <w:lang w:eastAsia="zh-Hans"/>
        </w:rPr>
        <w:t>6180</w:t>
      </w:r>
      <w:r>
        <w:rPr>
          <w:rFonts w:ascii="Times New Roman" w:eastAsia="宋体" w:hAnsi="Times New Roman" w:cs="Times New Roman"/>
          <w:sz w:val="24"/>
          <w:szCs w:val="24"/>
          <w:lang w:eastAsia="zh-Hans"/>
        </w:rPr>
        <w:t>万吨，预计</w:t>
      </w:r>
      <w:r>
        <w:rPr>
          <w:rFonts w:ascii="Times New Roman" w:eastAsia="宋体" w:hAnsi="Times New Roman" w:cs="Times New Roman"/>
          <w:sz w:val="24"/>
          <w:szCs w:val="24"/>
          <w:lang w:eastAsia="zh-Hans"/>
        </w:rPr>
        <w:t>2025</w:t>
      </w:r>
      <w:r>
        <w:rPr>
          <w:rFonts w:ascii="Times New Roman" w:eastAsia="宋体" w:hAnsi="Times New Roman" w:cs="Times New Roman"/>
          <w:sz w:val="24"/>
          <w:szCs w:val="24"/>
          <w:lang w:eastAsia="zh-Hans"/>
        </w:rPr>
        <w:t>年全市公路货运量将达到</w:t>
      </w:r>
      <w:r>
        <w:rPr>
          <w:rFonts w:ascii="Times New Roman" w:eastAsia="宋体" w:hAnsi="Times New Roman" w:cs="Times New Roman"/>
          <w:sz w:val="24"/>
          <w:szCs w:val="24"/>
          <w:lang w:eastAsia="zh-Hans"/>
        </w:rPr>
        <w:t>9848</w:t>
      </w:r>
      <w:r>
        <w:rPr>
          <w:rFonts w:ascii="Times New Roman" w:eastAsia="宋体" w:hAnsi="Times New Roman" w:cs="Times New Roman"/>
          <w:sz w:val="24"/>
          <w:szCs w:val="24"/>
          <w:lang w:eastAsia="zh-Hans"/>
        </w:rPr>
        <w:t>万吨</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折合物流量</w:t>
      </w:r>
      <w:r>
        <w:rPr>
          <w:rFonts w:ascii="Times New Roman" w:eastAsia="宋体" w:hAnsi="Times New Roman" w:cs="Times New Roman"/>
          <w:sz w:val="24"/>
          <w:szCs w:val="24"/>
          <w:lang w:eastAsia="zh-Hans"/>
        </w:rPr>
        <w:t>15756.8</w:t>
      </w:r>
      <w:r>
        <w:rPr>
          <w:rFonts w:ascii="Times New Roman" w:eastAsia="宋体" w:hAnsi="Times New Roman" w:cs="Times New Roman"/>
          <w:sz w:val="24"/>
          <w:szCs w:val="24"/>
          <w:lang w:eastAsia="zh-Hans"/>
        </w:rPr>
        <w:t>万吨，占全市货运总量比重为</w:t>
      </w:r>
      <w:r>
        <w:rPr>
          <w:rFonts w:ascii="Times New Roman" w:eastAsia="宋体" w:hAnsi="Times New Roman" w:cs="Times New Roman"/>
          <w:sz w:val="24"/>
          <w:szCs w:val="24"/>
          <w:lang w:eastAsia="zh-Hans"/>
        </w:rPr>
        <w:t>79.98%</w:t>
      </w:r>
      <w:r>
        <w:rPr>
          <w:rFonts w:ascii="Times New Roman" w:eastAsia="宋体" w:hAnsi="Times New Roman" w:cs="Times New Roman"/>
          <w:sz w:val="24"/>
          <w:szCs w:val="24"/>
          <w:lang w:eastAsia="zh-Hans"/>
        </w:rPr>
        <w:t>；全市铁路营业里程</w:t>
      </w:r>
      <w:r>
        <w:rPr>
          <w:rFonts w:ascii="Times New Roman" w:eastAsia="宋体" w:hAnsi="Times New Roman" w:cs="Times New Roman"/>
          <w:sz w:val="24"/>
          <w:szCs w:val="24"/>
          <w:lang w:eastAsia="zh-Hans"/>
        </w:rPr>
        <w:t>434</w:t>
      </w:r>
      <w:r>
        <w:rPr>
          <w:rFonts w:ascii="Times New Roman" w:eastAsia="宋体" w:hAnsi="Times New Roman" w:cs="Times New Roman"/>
          <w:sz w:val="24"/>
          <w:szCs w:val="24"/>
          <w:lang w:eastAsia="zh-Hans"/>
        </w:rPr>
        <w:t>公里，全年铁路货物运输量</w:t>
      </w:r>
      <w:r>
        <w:rPr>
          <w:rFonts w:ascii="Times New Roman" w:eastAsia="宋体" w:hAnsi="Times New Roman" w:cs="Times New Roman"/>
          <w:sz w:val="24"/>
          <w:szCs w:val="24"/>
          <w:lang w:eastAsia="zh-Hans"/>
        </w:rPr>
        <w:t>716.8</w:t>
      </w:r>
      <w:r>
        <w:rPr>
          <w:rFonts w:ascii="Times New Roman" w:eastAsia="宋体" w:hAnsi="Times New Roman" w:cs="Times New Roman"/>
          <w:sz w:val="24"/>
          <w:szCs w:val="24"/>
          <w:lang w:eastAsia="zh-Hans"/>
        </w:rPr>
        <w:t>万吨，预测</w:t>
      </w:r>
      <w:r>
        <w:rPr>
          <w:rFonts w:ascii="Times New Roman" w:eastAsia="宋体" w:hAnsi="Times New Roman" w:cs="Times New Roman"/>
          <w:sz w:val="24"/>
          <w:szCs w:val="24"/>
          <w:lang w:eastAsia="zh-Hans"/>
        </w:rPr>
        <w:t>2025</w:t>
      </w:r>
      <w:r>
        <w:rPr>
          <w:rFonts w:ascii="Times New Roman" w:eastAsia="宋体" w:hAnsi="Times New Roman" w:cs="Times New Roman"/>
          <w:sz w:val="24"/>
          <w:szCs w:val="24"/>
          <w:lang w:eastAsia="zh-Hans"/>
        </w:rPr>
        <w:t>年全市铁路货运量将达到</w:t>
      </w:r>
      <w:r>
        <w:rPr>
          <w:rFonts w:ascii="Times New Roman" w:eastAsia="宋体" w:hAnsi="Times New Roman" w:cs="Times New Roman"/>
          <w:sz w:val="24"/>
          <w:szCs w:val="24"/>
          <w:lang w:eastAsia="zh-Hans"/>
        </w:rPr>
        <w:t>1354</w:t>
      </w:r>
      <w:r>
        <w:rPr>
          <w:rFonts w:ascii="Times New Roman" w:eastAsia="宋体" w:hAnsi="Times New Roman" w:cs="Times New Roman"/>
          <w:sz w:val="24"/>
          <w:szCs w:val="24"/>
          <w:lang w:eastAsia="zh-Hans"/>
        </w:rPr>
        <w:t>万吨（折合物流量</w:t>
      </w:r>
      <w:r>
        <w:rPr>
          <w:rFonts w:ascii="Times New Roman" w:eastAsia="宋体" w:hAnsi="Times New Roman" w:cs="Times New Roman"/>
          <w:sz w:val="24"/>
          <w:szCs w:val="24"/>
          <w:lang w:eastAsia="zh-Hans"/>
        </w:rPr>
        <w:t xml:space="preserve">2166.4 </w:t>
      </w:r>
      <w:r>
        <w:rPr>
          <w:rFonts w:ascii="Times New Roman" w:eastAsia="宋体" w:hAnsi="Times New Roman" w:cs="Times New Roman"/>
          <w:sz w:val="24"/>
          <w:szCs w:val="24"/>
          <w:lang w:eastAsia="zh-Hans"/>
        </w:rPr>
        <w:t>万吨），占全市货运总量比重为</w:t>
      </w:r>
      <w:r>
        <w:rPr>
          <w:rFonts w:ascii="Times New Roman" w:eastAsia="宋体" w:hAnsi="Times New Roman" w:cs="Times New Roman"/>
          <w:sz w:val="24"/>
          <w:szCs w:val="24"/>
          <w:lang w:eastAsia="zh-Hans"/>
        </w:rPr>
        <w:t>11%</w:t>
      </w:r>
      <w:r>
        <w:rPr>
          <w:rFonts w:ascii="Times New Roman" w:eastAsia="宋体" w:hAnsi="Times New Roman" w:cs="Times New Roman"/>
          <w:sz w:val="24"/>
          <w:szCs w:val="24"/>
          <w:lang w:eastAsia="zh-Hans"/>
        </w:rPr>
        <w:t>；全市水路货物运输量</w:t>
      </w:r>
      <w:r>
        <w:rPr>
          <w:rFonts w:ascii="Times New Roman" w:eastAsia="宋体" w:hAnsi="Times New Roman" w:cs="Times New Roman"/>
          <w:sz w:val="24"/>
          <w:szCs w:val="24"/>
          <w:lang w:eastAsia="zh-Hans"/>
        </w:rPr>
        <w:t xml:space="preserve">498.8 </w:t>
      </w:r>
      <w:r>
        <w:rPr>
          <w:rFonts w:ascii="Times New Roman" w:eastAsia="宋体" w:hAnsi="Times New Roman" w:cs="Times New Roman"/>
          <w:sz w:val="24"/>
          <w:szCs w:val="24"/>
          <w:lang w:eastAsia="zh-Hans"/>
        </w:rPr>
        <w:t>万吨、集装箱吞吐量</w:t>
      </w:r>
      <w:r>
        <w:rPr>
          <w:rFonts w:ascii="Times New Roman" w:eastAsia="宋体" w:hAnsi="Times New Roman" w:cs="Times New Roman"/>
          <w:sz w:val="24"/>
          <w:szCs w:val="24"/>
          <w:lang w:eastAsia="zh-Hans"/>
        </w:rPr>
        <w:t xml:space="preserve">11.9 </w:t>
      </w:r>
      <w:r>
        <w:rPr>
          <w:rFonts w:ascii="Times New Roman" w:eastAsia="宋体" w:hAnsi="Times New Roman" w:cs="Times New Roman"/>
          <w:sz w:val="24"/>
          <w:szCs w:val="24"/>
          <w:lang w:eastAsia="zh-Hans"/>
        </w:rPr>
        <w:t>万标箱</w:t>
      </w:r>
      <w:r>
        <w:rPr>
          <w:rFonts w:ascii="Times New Roman" w:eastAsia="宋体" w:hAnsi="Times New Roman" w:cs="Times New Roman"/>
          <w:sz w:val="24"/>
          <w:szCs w:val="24"/>
        </w:rPr>
        <w:t>，预测</w:t>
      </w:r>
      <w:r>
        <w:rPr>
          <w:rFonts w:ascii="Times New Roman" w:eastAsia="宋体" w:hAnsi="Times New Roman" w:cs="Times New Roman"/>
          <w:sz w:val="24"/>
          <w:szCs w:val="24"/>
          <w:lang w:eastAsia="zh-Hans"/>
        </w:rPr>
        <w:t>到</w:t>
      </w:r>
      <w:r>
        <w:rPr>
          <w:rFonts w:ascii="Times New Roman" w:eastAsia="宋体" w:hAnsi="Times New Roman" w:cs="Times New Roman"/>
          <w:sz w:val="24"/>
          <w:szCs w:val="24"/>
          <w:lang w:eastAsia="zh-Hans"/>
        </w:rPr>
        <w:t xml:space="preserve">2025 </w:t>
      </w:r>
      <w:r>
        <w:rPr>
          <w:rFonts w:ascii="Times New Roman" w:eastAsia="宋体" w:hAnsi="Times New Roman" w:cs="Times New Roman"/>
          <w:sz w:val="24"/>
          <w:szCs w:val="24"/>
          <w:lang w:eastAsia="zh-Hans"/>
        </w:rPr>
        <w:t>年，全市水路货运量将达到</w:t>
      </w:r>
      <w:r>
        <w:rPr>
          <w:rFonts w:ascii="Times New Roman" w:eastAsia="宋体" w:hAnsi="Times New Roman" w:cs="Times New Roman"/>
          <w:sz w:val="24"/>
          <w:szCs w:val="24"/>
          <w:lang w:eastAsia="zh-Hans"/>
        </w:rPr>
        <w:t xml:space="preserve">1108.5 </w:t>
      </w:r>
      <w:r>
        <w:rPr>
          <w:rFonts w:ascii="Times New Roman" w:eastAsia="宋体" w:hAnsi="Times New Roman" w:cs="Times New Roman"/>
          <w:sz w:val="24"/>
          <w:szCs w:val="24"/>
          <w:lang w:eastAsia="zh-Hans"/>
        </w:rPr>
        <w:t>万吨（折合物流量</w:t>
      </w:r>
      <w:r>
        <w:rPr>
          <w:rFonts w:ascii="Times New Roman" w:eastAsia="宋体" w:hAnsi="Times New Roman" w:cs="Times New Roman"/>
          <w:sz w:val="24"/>
          <w:szCs w:val="24"/>
          <w:lang w:eastAsia="zh-Hans"/>
        </w:rPr>
        <w:t xml:space="preserve">1773.6 </w:t>
      </w:r>
      <w:r>
        <w:rPr>
          <w:rFonts w:ascii="Times New Roman" w:eastAsia="宋体" w:hAnsi="Times New Roman" w:cs="Times New Roman"/>
          <w:sz w:val="24"/>
          <w:szCs w:val="24"/>
          <w:lang w:eastAsia="zh-Hans"/>
        </w:rPr>
        <w:t>万吨），占全市货运总量比重为</w:t>
      </w:r>
      <w:r>
        <w:rPr>
          <w:rFonts w:ascii="Times New Roman" w:eastAsia="宋体" w:hAnsi="Times New Roman" w:cs="Times New Roman"/>
          <w:sz w:val="24"/>
          <w:szCs w:val="24"/>
          <w:lang w:eastAsia="zh-Hans"/>
        </w:rPr>
        <w:t>9.00%</w:t>
      </w:r>
      <w:r>
        <w:rPr>
          <w:rFonts w:ascii="Times New Roman" w:eastAsia="宋体" w:hAnsi="Times New Roman" w:cs="Times New Roman"/>
          <w:sz w:val="24"/>
          <w:szCs w:val="24"/>
          <w:lang w:eastAsia="zh-Hans"/>
        </w:rPr>
        <w:t>；全市航空货物运输量</w:t>
      </w:r>
      <w:r>
        <w:rPr>
          <w:rFonts w:ascii="Times New Roman" w:eastAsia="宋体" w:hAnsi="Times New Roman" w:cs="Times New Roman"/>
          <w:sz w:val="24"/>
          <w:szCs w:val="24"/>
          <w:lang w:eastAsia="zh-Hans"/>
        </w:rPr>
        <w:t xml:space="preserve">5500 </w:t>
      </w:r>
      <w:r>
        <w:rPr>
          <w:rFonts w:ascii="Times New Roman" w:eastAsia="宋体" w:hAnsi="Times New Roman" w:cs="Times New Roman"/>
          <w:sz w:val="24"/>
          <w:szCs w:val="24"/>
          <w:lang w:eastAsia="zh-Hans"/>
        </w:rPr>
        <w:t>吨，预计到</w:t>
      </w:r>
      <w:r>
        <w:rPr>
          <w:rFonts w:ascii="Times New Roman" w:eastAsia="宋体" w:hAnsi="Times New Roman" w:cs="Times New Roman"/>
          <w:sz w:val="24"/>
          <w:szCs w:val="24"/>
          <w:lang w:eastAsia="zh-Hans"/>
        </w:rPr>
        <w:t xml:space="preserve">2025 </w:t>
      </w:r>
      <w:r>
        <w:rPr>
          <w:rFonts w:ascii="Times New Roman" w:eastAsia="宋体" w:hAnsi="Times New Roman" w:cs="Times New Roman"/>
          <w:sz w:val="24"/>
          <w:szCs w:val="24"/>
          <w:lang w:eastAsia="zh-Hans"/>
        </w:rPr>
        <w:t>年，将达到</w:t>
      </w:r>
      <w:r>
        <w:rPr>
          <w:rFonts w:ascii="Times New Roman" w:eastAsia="宋体" w:hAnsi="Times New Roman" w:cs="Times New Roman"/>
          <w:sz w:val="24"/>
          <w:szCs w:val="24"/>
          <w:lang w:eastAsia="zh-Hans"/>
        </w:rPr>
        <w:t xml:space="preserve">1.5 </w:t>
      </w:r>
      <w:r>
        <w:rPr>
          <w:rFonts w:ascii="Times New Roman" w:eastAsia="宋体" w:hAnsi="Times New Roman" w:cs="Times New Roman"/>
          <w:sz w:val="24"/>
          <w:szCs w:val="24"/>
          <w:lang w:eastAsia="zh-Hans"/>
        </w:rPr>
        <w:t>万吨（折合物流量</w:t>
      </w:r>
      <w:r>
        <w:rPr>
          <w:rFonts w:ascii="Times New Roman" w:eastAsia="宋体" w:hAnsi="Times New Roman" w:cs="Times New Roman"/>
          <w:sz w:val="24"/>
          <w:szCs w:val="24"/>
          <w:lang w:eastAsia="zh-Hans"/>
        </w:rPr>
        <w:t xml:space="preserve">2.4 </w:t>
      </w:r>
      <w:r>
        <w:rPr>
          <w:rFonts w:ascii="Times New Roman" w:eastAsia="宋体" w:hAnsi="Times New Roman" w:cs="Times New Roman"/>
          <w:sz w:val="24"/>
          <w:szCs w:val="24"/>
          <w:lang w:eastAsia="zh-Hans"/>
        </w:rPr>
        <w:t>万吨）。</w:t>
      </w:r>
    </w:p>
    <w:p w14:paraId="1FAD36ED"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截至</w:t>
      </w:r>
      <w:r>
        <w:rPr>
          <w:rFonts w:ascii="Times New Roman" w:eastAsia="宋体" w:hAnsi="Times New Roman" w:cs="Times New Roman"/>
          <w:sz w:val="24"/>
          <w:szCs w:val="24"/>
          <w:lang w:eastAsia="zh-Hans"/>
        </w:rPr>
        <w:t>2022</w:t>
      </w:r>
      <w:r>
        <w:rPr>
          <w:rFonts w:ascii="Times New Roman" w:eastAsia="宋体" w:hAnsi="Times New Roman" w:cs="Times New Roman"/>
          <w:sz w:val="24"/>
          <w:szCs w:val="24"/>
          <w:lang w:eastAsia="zh-Hans"/>
        </w:rPr>
        <w:t>年底，宜宾市公路通车里程</w:t>
      </w:r>
      <w:r>
        <w:rPr>
          <w:rFonts w:ascii="Times New Roman" w:eastAsia="宋体" w:hAnsi="Times New Roman" w:cs="Times New Roman"/>
          <w:sz w:val="24"/>
          <w:szCs w:val="24"/>
          <w:lang w:eastAsia="zh-Hans"/>
        </w:rPr>
        <w:t>26088</w:t>
      </w:r>
      <w:r>
        <w:rPr>
          <w:rFonts w:ascii="Times New Roman" w:eastAsia="宋体" w:hAnsi="Times New Roman" w:cs="Times New Roman"/>
          <w:sz w:val="24"/>
          <w:szCs w:val="24"/>
          <w:lang w:eastAsia="zh-Hans"/>
        </w:rPr>
        <w:t>千米，其中高速公路通车里程</w:t>
      </w:r>
      <w:r>
        <w:rPr>
          <w:rFonts w:ascii="Times New Roman" w:eastAsia="宋体" w:hAnsi="Times New Roman" w:cs="Times New Roman"/>
          <w:sz w:val="24"/>
          <w:szCs w:val="24"/>
          <w:lang w:eastAsia="zh-Hans"/>
        </w:rPr>
        <w:t>517</w:t>
      </w:r>
      <w:r>
        <w:rPr>
          <w:rFonts w:ascii="Times New Roman" w:eastAsia="宋体" w:hAnsi="Times New Roman" w:cs="Times New Roman"/>
          <w:sz w:val="24"/>
          <w:szCs w:val="24"/>
          <w:lang w:eastAsia="zh-Hans"/>
        </w:rPr>
        <w:t>千米；铁路营业里程</w:t>
      </w:r>
      <w:r>
        <w:rPr>
          <w:rFonts w:ascii="Times New Roman" w:eastAsia="宋体" w:hAnsi="Times New Roman" w:cs="Times New Roman"/>
          <w:sz w:val="24"/>
          <w:szCs w:val="24"/>
          <w:lang w:eastAsia="zh-Hans"/>
        </w:rPr>
        <w:t>434</w:t>
      </w:r>
      <w:r>
        <w:rPr>
          <w:rFonts w:ascii="Times New Roman" w:eastAsia="宋体" w:hAnsi="Times New Roman" w:cs="Times New Roman"/>
          <w:sz w:val="24"/>
          <w:szCs w:val="24"/>
          <w:lang w:eastAsia="zh-Hans"/>
        </w:rPr>
        <w:t>千米，民航营运航线</w:t>
      </w:r>
      <w:r>
        <w:rPr>
          <w:rFonts w:ascii="Times New Roman" w:eastAsia="宋体" w:hAnsi="Times New Roman" w:cs="Times New Roman"/>
          <w:sz w:val="24"/>
          <w:szCs w:val="24"/>
          <w:lang w:eastAsia="zh-Hans"/>
        </w:rPr>
        <w:t>50</w:t>
      </w:r>
      <w:r>
        <w:rPr>
          <w:rFonts w:ascii="Times New Roman" w:eastAsia="宋体" w:hAnsi="Times New Roman" w:cs="Times New Roman"/>
          <w:sz w:val="24"/>
          <w:szCs w:val="24"/>
          <w:lang w:eastAsia="zh-Hans"/>
        </w:rPr>
        <w:t>条。全年公路、铁路、航空和水路等运输方式货物运输总量</w:t>
      </w:r>
      <w:r>
        <w:rPr>
          <w:rFonts w:ascii="Times New Roman" w:eastAsia="宋体" w:hAnsi="Times New Roman" w:cs="Times New Roman"/>
          <w:sz w:val="24"/>
          <w:szCs w:val="24"/>
          <w:lang w:eastAsia="zh-Hans"/>
        </w:rPr>
        <w:t>12568.25</w:t>
      </w:r>
      <w:r>
        <w:rPr>
          <w:rFonts w:ascii="Times New Roman" w:eastAsia="宋体" w:hAnsi="Times New Roman" w:cs="Times New Roman"/>
          <w:sz w:val="24"/>
          <w:szCs w:val="24"/>
          <w:lang w:eastAsia="zh-Hans"/>
        </w:rPr>
        <w:t>万吨，其中，港口货物吞吐量</w:t>
      </w:r>
      <w:r>
        <w:rPr>
          <w:rFonts w:ascii="Times New Roman" w:eastAsia="宋体" w:hAnsi="Times New Roman" w:cs="Times New Roman"/>
          <w:sz w:val="24"/>
          <w:szCs w:val="24"/>
          <w:lang w:eastAsia="zh-Hans"/>
        </w:rPr>
        <w:t>577.11</w:t>
      </w:r>
      <w:r>
        <w:rPr>
          <w:rFonts w:ascii="Times New Roman" w:eastAsia="宋体" w:hAnsi="Times New Roman" w:cs="Times New Roman"/>
          <w:sz w:val="24"/>
          <w:szCs w:val="24"/>
          <w:lang w:eastAsia="zh-Hans"/>
        </w:rPr>
        <w:t>万吨，集装箱吞吐量</w:t>
      </w:r>
      <w:r>
        <w:rPr>
          <w:rFonts w:ascii="Times New Roman" w:eastAsia="宋体" w:hAnsi="Times New Roman" w:cs="Times New Roman"/>
          <w:sz w:val="24"/>
          <w:szCs w:val="24"/>
          <w:lang w:eastAsia="zh-Hans"/>
        </w:rPr>
        <w:t>9.61</w:t>
      </w:r>
      <w:r>
        <w:rPr>
          <w:rFonts w:ascii="Times New Roman" w:eastAsia="宋体" w:hAnsi="Times New Roman" w:cs="Times New Roman"/>
          <w:sz w:val="24"/>
          <w:szCs w:val="24"/>
          <w:lang w:eastAsia="zh-Hans"/>
        </w:rPr>
        <w:t>万标准箱。</w:t>
      </w:r>
    </w:p>
    <w:p w14:paraId="5320E8C1"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lang w:eastAsia="zh-Hans"/>
        </w:rPr>
        <w:t>随着国家“一带一路”、长江经济带发展、新时代西部大开发、西部陆海新通道、成渝地区双城经济圈建设等重大发展战略的深入推进，对区域物流一体化提出更高要求。现如今，国际国内形势变化巨大，中欧班列畅通南北、连接</w:t>
      </w:r>
      <w:r>
        <w:rPr>
          <w:rFonts w:ascii="Times New Roman" w:eastAsia="宋体" w:hAnsi="Times New Roman" w:cs="Times New Roman" w:hint="eastAsia"/>
          <w:sz w:val="24"/>
          <w:szCs w:val="24"/>
          <w:lang w:eastAsia="zh-Hans"/>
        </w:rPr>
        <w:lastRenderedPageBreak/>
        <w:t>欧洲，长江经济带互通东西、链接国内和出海大通道，西部陆海新通道、中老铁路更是成为中国与东盟合作的物流大动脉，四条大通道为国际国内贸易提供重要支撑，为宜宾物流发展带来新机遇。然而，从国际来看，中美战略博弈、新冠疫情、全球产业链重构等宏观环境复杂性与不确定性进一步加大。国际原油等基础能源产品价格的波动使物流企业成本控制受到较大影响。从国内来看，各地竞相发展的态势仍将持续，区域竞争日趋激烈，泸州市提出要“打造西部陆海新通道和长江经济带物流枢纽，建成全省第二经济增长极，助推成渝地区双城经济圈南翼跨域发展”；内江市也提出要“加快建成西部陆海新通道多式联运示范基地、成渝地区双城经济圈南向物流中心、川南经济区核心物流枢纽，全面打造西部陆海新通道和长江经济带物流枢纽”。在此背景下，宜宾该如何抢抓机遇，在成都、重庆等特大城市的引领作用之下，与双圈中各城市实现区域联动、良性竞合是宜宾现代物流业发展面临的一大挑战。充分发挥宜宾市交通区域优势，可以从两个方面具体操作。</w:t>
      </w:r>
    </w:p>
    <w:p w14:paraId="308E18F8"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lang w:eastAsia="zh-Hans"/>
        </w:rPr>
        <w:t>一是物流基础设施的协同构建。宜宾市“十四五”现代物流业发展规划中指出，要着力构建“一核两廊四区”协同发展的新格局，构建“</w:t>
      </w:r>
      <w:r>
        <w:rPr>
          <w:rFonts w:ascii="Times New Roman" w:eastAsia="宋体" w:hAnsi="Times New Roman" w:cs="Times New Roman"/>
          <w:sz w:val="24"/>
          <w:szCs w:val="24"/>
          <w:lang w:eastAsia="zh-Hans"/>
        </w:rPr>
        <w:t xml:space="preserve">1 </w:t>
      </w:r>
      <w:r>
        <w:rPr>
          <w:rFonts w:ascii="Times New Roman" w:eastAsia="宋体" w:hAnsi="Times New Roman" w:cs="Times New Roman"/>
          <w:sz w:val="24"/>
          <w:szCs w:val="24"/>
          <w:lang w:eastAsia="zh-Hans"/>
        </w:rPr>
        <w:t>个物流枢纽、</w:t>
      </w:r>
      <w:r>
        <w:rPr>
          <w:rFonts w:ascii="Times New Roman" w:eastAsia="宋体" w:hAnsi="Times New Roman" w:cs="Times New Roman"/>
          <w:sz w:val="24"/>
          <w:szCs w:val="24"/>
          <w:lang w:eastAsia="zh-Hans"/>
        </w:rPr>
        <w:t xml:space="preserve">5 </w:t>
      </w:r>
      <w:r>
        <w:rPr>
          <w:rFonts w:ascii="Times New Roman" w:eastAsia="宋体" w:hAnsi="Times New Roman" w:cs="Times New Roman"/>
          <w:sz w:val="24"/>
          <w:szCs w:val="24"/>
          <w:lang w:eastAsia="zh-Hans"/>
        </w:rPr>
        <w:t>个物流园区、</w:t>
      </w:r>
      <w:r>
        <w:rPr>
          <w:rFonts w:ascii="Times New Roman" w:eastAsia="宋体" w:hAnsi="Times New Roman" w:cs="Times New Roman"/>
          <w:sz w:val="24"/>
          <w:szCs w:val="24"/>
          <w:lang w:eastAsia="zh-Hans"/>
        </w:rPr>
        <w:t xml:space="preserve">9 </w:t>
      </w:r>
      <w:r>
        <w:rPr>
          <w:rFonts w:ascii="Times New Roman" w:eastAsia="宋体" w:hAnsi="Times New Roman" w:cs="Times New Roman"/>
          <w:sz w:val="24"/>
          <w:szCs w:val="24"/>
          <w:lang w:eastAsia="zh-Hans"/>
        </w:rPr>
        <w:t>个物流中心、</w:t>
      </w:r>
      <w:r>
        <w:rPr>
          <w:rFonts w:ascii="Times New Roman" w:eastAsia="宋体" w:hAnsi="Times New Roman" w:cs="Times New Roman"/>
          <w:sz w:val="24"/>
          <w:szCs w:val="24"/>
          <w:lang w:eastAsia="zh-Hans"/>
        </w:rPr>
        <w:t xml:space="preserve">48 </w:t>
      </w:r>
      <w:r>
        <w:rPr>
          <w:rFonts w:ascii="Times New Roman" w:eastAsia="宋体" w:hAnsi="Times New Roman" w:cs="Times New Roman"/>
          <w:sz w:val="24"/>
          <w:szCs w:val="24"/>
          <w:lang w:eastAsia="zh-Hans"/>
        </w:rPr>
        <w:t>个配送网点</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的四级物流节点体系</w:t>
      </w:r>
      <w:r>
        <w:rPr>
          <w:rFonts w:ascii="Times New Roman" w:eastAsia="宋体" w:hAnsi="Times New Roman" w:cs="Times New Roman" w:hint="eastAsia"/>
          <w:sz w:val="24"/>
          <w:szCs w:val="24"/>
          <w:lang w:eastAsia="zh-Hans"/>
        </w:rPr>
        <w:t>，发挥铁路在陆路运输中的骨干作用和港口在水路运输中的门户作用，形成通道引领、枢纽支撑、衔接高效的发展格局，最终实现“物畅其流、货行天下”的目标。</w:t>
      </w:r>
    </w:p>
    <w:p w14:paraId="5660A84D"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lang w:eastAsia="zh-Hans"/>
        </w:rPr>
        <w:t>二是货流货源的协同组织。目前，</w:t>
      </w:r>
      <w:r>
        <w:rPr>
          <w:rFonts w:ascii="Times New Roman" w:eastAsia="宋体" w:hAnsi="Times New Roman" w:cs="Times New Roman"/>
          <w:sz w:val="24"/>
          <w:szCs w:val="24"/>
          <w:lang w:eastAsia="zh-Hans"/>
        </w:rPr>
        <w:t>以宜宾港辐射范围为依据，宜宾货源主要来自川南、川西地区及黔西北、滇东北部分区域，包括宜宾本地、自贡、内江、乐山、眉山、雅安、攀枝花、毕节、六盘水、昭通、曲靖等地区。</w:t>
      </w:r>
    </w:p>
    <w:p w14:paraId="55257361"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目前，受交通条件限制，进出攀西地区、滇东北地区、黔西北地区的大宗物资无法直接在宜宾港实现转运，</w:t>
      </w:r>
      <w:r>
        <w:rPr>
          <w:rFonts w:ascii="Times New Roman" w:eastAsia="宋体" w:hAnsi="Times New Roman" w:cs="Times New Roman" w:hint="eastAsia"/>
          <w:sz w:val="24"/>
          <w:szCs w:val="24"/>
          <w:lang w:eastAsia="zh-Hans"/>
        </w:rPr>
        <w:t>需要通过公铁或公铁水等方式进行转运。其中，</w:t>
      </w:r>
      <w:r>
        <w:rPr>
          <w:rFonts w:ascii="Times New Roman" w:eastAsia="宋体" w:hAnsi="Times New Roman" w:cs="Times New Roman"/>
          <w:sz w:val="24"/>
          <w:szCs w:val="24"/>
          <w:lang w:eastAsia="zh-Hans"/>
        </w:rPr>
        <w:t>宜宾与成德眉地区有多条高速连通，与攀西、黔西北、滇东北地区主要通过公路连接，与川南地区主要通过高速公路及水运连接</w:t>
      </w:r>
      <w:r>
        <w:rPr>
          <w:rFonts w:ascii="Times New Roman" w:eastAsia="宋体" w:hAnsi="Times New Roman" w:cs="Times New Roman" w:hint="eastAsia"/>
          <w:sz w:val="24"/>
          <w:szCs w:val="24"/>
          <w:lang w:eastAsia="zh-Hans"/>
        </w:rPr>
        <w:t>。</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020</w:t>
      </w:r>
      <w:r>
        <w:rPr>
          <w:rFonts w:ascii="Times New Roman" w:eastAsia="宋体" w:hAnsi="Times New Roman" w:cs="Times New Roman" w:hint="eastAsia"/>
          <w:sz w:val="24"/>
          <w:szCs w:val="24"/>
        </w:rPr>
        <w:t>年，</w:t>
      </w:r>
      <w:r>
        <w:rPr>
          <w:rFonts w:ascii="Times New Roman" w:eastAsia="宋体" w:hAnsi="Times New Roman" w:cs="Times New Roman"/>
          <w:sz w:val="24"/>
          <w:szCs w:val="24"/>
          <w:lang w:eastAsia="zh-Hans"/>
        </w:rPr>
        <w:t>宜宾与五大地区主要货物运输通道、与周边地区关联产品及产量见表</w:t>
      </w:r>
      <w:r>
        <w:rPr>
          <w:rFonts w:ascii="Times New Roman" w:eastAsia="宋体" w:hAnsi="Times New Roman" w:cs="Times New Roman"/>
          <w:sz w:val="24"/>
          <w:szCs w:val="24"/>
          <w:lang w:eastAsia="zh-Hans"/>
        </w:rPr>
        <w:t>1</w:t>
      </w:r>
      <w:r>
        <w:rPr>
          <w:rFonts w:ascii="Times New Roman" w:eastAsia="宋体" w:hAnsi="Times New Roman" w:cs="Times New Roman"/>
          <w:sz w:val="24"/>
          <w:szCs w:val="24"/>
          <w:lang w:eastAsia="zh-Hans"/>
        </w:rPr>
        <w:t>。</w:t>
      </w:r>
    </w:p>
    <w:p w14:paraId="18C82F2D" w14:textId="77777777" w:rsidR="00CC512B" w:rsidRDefault="00000000">
      <w:pPr>
        <w:spacing w:line="360" w:lineRule="auto"/>
        <w:ind w:firstLine="480"/>
        <w:jc w:val="center"/>
        <w:rPr>
          <w:rFonts w:ascii="Times New Roman" w:eastAsia="黑体" w:hAnsi="Times New Roman" w:cs="Times New Roman"/>
          <w:sz w:val="20"/>
          <w:szCs w:val="20"/>
        </w:rPr>
      </w:pPr>
      <w:r>
        <w:rPr>
          <w:rFonts w:ascii="Times New Roman" w:eastAsia="黑体" w:hAnsi="Times New Roman" w:cs="Times New Roman"/>
          <w:sz w:val="20"/>
          <w:szCs w:val="20"/>
          <w:lang w:eastAsia="zh-Hans"/>
        </w:rPr>
        <w:t>表</w:t>
      </w:r>
      <w:r>
        <w:rPr>
          <w:rFonts w:ascii="Times New Roman" w:eastAsia="黑体" w:hAnsi="Times New Roman" w:cs="Times New Roman"/>
          <w:sz w:val="20"/>
          <w:szCs w:val="20"/>
        </w:rPr>
        <w:t xml:space="preserve">1 </w:t>
      </w:r>
      <w:r>
        <w:rPr>
          <w:rFonts w:ascii="Times New Roman" w:eastAsia="黑体" w:hAnsi="Times New Roman" w:cs="Times New Roman"/>
          <w:sz w:val="20"/>
          <w:szCs w:val="20"/>
        </w:rPr>
        <w:t>宜宾与周边地区关联产品及物流量</w:t>
      </w:r>
    </w:p>
    <w:tbl>
      <w:tblPr>
        <w:tblStyle w:val="af3"/>
        <w:tblW w:w="0" w:type="auto"/>
        <w:tblLook w:val="04A0" w:firstRow="1" w:lastRow="0" w:firstColumn="1" w:lastColumn="0" w:noHBand="0" w:noVBand="1"/>
      </w:tblPr>
      <w:tblGrid>
        <w:gridCol w:w="846"/>
        <w:gridCol w:w="4819"/>
        <w:gridCol w:w="1276"/>
        <w:gridCol w:w="1355"/>
      </w:tblGrid>
      <w:tr w:rsidR="00CC512B" w14:paraId="37766EB4" w14:textId="77777777">
        <w:tc>
          <w:tcPr>
            <w:tcW w:w="846" w:type="dxa"/>
            <w:vAlign w:val="center"/>
          </w:tcPr>
          <w:p w14:paraId="52C68A24"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地区</w:t>
            </w:r>
          </w:p>
        </w:tc>
        <w:tc>
          <w:tcPr>
            <w:tcW w:w="4819" w:type="dxa"/>
            <w:vAlign w:val="center"/>
          </w:tcPr>
          <w:p w14:paraId="25AE7B25"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与宜宾关联的产品</w:t>
            </w:r>
          </w:p>
        </w:tc>
        <w:tc>
          <w:tcPr>
            <w:tcW w:w="1276" w:type="dxa"/>
            <w:vAlign w:val="center"/>
          </w:tcPr>
          <w:p w14:paraId="31B6FBC8"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物流量</w:t>
            </w:r>
          </w:p>
          <w:p w14:paraId="53E5EA1E"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1355" w:type="dxa"/>
            <w:vAlign w:val="center"/>
          </w:tcPr>
          <w:p w14:paraId="36535F29"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主要运输方式</w:t>
            </w:r>
          </w:p>
        </w:tc>
      </w:tr>
      <w:tr w:rsidR="00CC512B" w14:paraId="51AF7DA2" w14:textId="77777777">
        <w:tc>
          <w:tcPr>
            <w:tcW w:w="846" w:type="dxa"/>
            <w:vAlign w:val="center"/>
          </w:tcPr>
          <w:p w14:paraId="5581BBD1" w14:textId="77777777" w:rsidR="00CC512B" w:rsidRDefault="00000000">
            <w:pPr>
              <w:spacing w:line="360" w:lineRule="auto"/>
              <w:jc w:val="center"/>
              <w:rPr>
                <w:rFonts w:ascii="Times New Roman" w:eastAsia="宋体" w:hAnsi="Times New Roman" w:cs="Times New Roman"/>
                <w:sz w:val="20"/>
                <w:szCs w:val="20"/>
              </w:rPr>
            </w:pPr>
            <w:proofErr w:type="gramStart"/>
            <w:r>
              <w:rPr>
                <w:rFonts w:ascii="Times New Roman" w:eastAsia="宋体" w:hAnsi="Times New Roman" w:cs="Times New Roman"/>
                <w:sz w:val="20"/>
                <w:szCs w:val="20"/>
              </w:rPr>
              <w:t>成德眉</w:t>
            </w:r>
            <w:proofErr w:type="gramEnd"/>
          </w:p>
        </w:tc>
        <w:tc>
          <w:tcPr>
            <w:tcW w:w="4819" w:type="dxa"/>
            <w:vAlign w:val="center"/>
          </w:tcPr>
          <w:p w14:paraId="6D0F2541"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汽车、工程机械及零部件、建材、化学化工产品等</w:t>
            </w:r>
          </w:p>
        </w:tc>
        <w:tc>
          <w:tcPr>
            <w:tcW w:w="1276" w:type="dxa"/>
            <w:vAlign w:val="center"/>
          </w:tcPr>
          <w:p w14:paraId="791510C4"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6962</w:t>
            </w:r>
          </w:p>
        </w:tc>
        <w:tc>
          <w:tcPr>
            <w:tcW w:w="1355" w:type="dxa"/>
            <w:vAlign w:val="center"/>
          </w:tcPr>
          <w:p w14:paraId="38312D9C"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公、铁</w:t>
            </w:r>
          </w:p>
        </w:tc>
      </w:tr>
      <w:tr w:rsidR="00CC512B" w14:paraId="5EA1689A" w14:textId="77777777">
        <w:tc>
          <w:tcPr>
            <w:tcW w:w="846" w:type="dxa"/>
            <w:vAlign w:val="center"/>
          </w:tcPr>
          <w:p w14:paraId="54738006"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lastRenderedPageBreak/>
              <w:t>川南</w:t>
            </w:r>
          </w:p>
        </w:tc>
        <w:tc>
          <w:tcPr>
            <w:tcW w:w="4819" w:type="dxa"/>
            <w:vAlign w:val="center"/>
          </w:tcPr>
          <w:p w14:paraId="6E034DA7"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磷矿石、白酒、饮料、原盐、建材、化学化工产品等</w:t>
            </w:r>
          </w:p>
        </w:tc>
        <w:tc>
          <w:tcPr>
            <w:tcW w:w="1276" w:type="dxa"/>
            <w:vAlign w:val="center"/>
          </w:tcPr>
          <w:p w14:paraId="0FC6F9F4"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7572</w:t>
            </w:r>
          </w:p>
        </w:tc>
        <w:tc>
          <w:tcPr>
            <w:tcW w:w="1355" w:type="dxa"/>
            <w:vAlign w:val="center"/>
          </w:tcPr>
          <w:p w14:paraId="5F6FC9E6"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公、铁、水</w:t>
            </w:r>
          </w:p>
        </w:tc>
      </w:tr>
      <w:tr w:rsidR="00CC512B" w14:paraId="0AE29EC7" w14:textId="77777777">
        <w:tc>
          <w:tcPr>
            <w:tcW w:w="846" w:type="dxa"/>
            <w:vAlign w:val="center"/>
          </w:tcPr>
          <w:p w14:paraId="7136B2EF"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攀西</w:t>
            </w:r>
          </w:p>
        </w:tc>
        <w:tc>
          <w:tcPr>
            <w:tcW w:w="4819" w:type="dxa"/>
            <w:vAlign w:val="center"/>
          </w:tcPr>
          <w:p w14:paraId="5A7B769B"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煤炭矿产、钢铁、钒钛产品等</w:t>
            </w:r>
          </w:p>
        </w:tc>
        <w:tc>
          <w:tcPr>
            <w:tcW w:w="1276" w:type="dxa"/>
            <w:vAlign w:val="center"/>
          </w:tcPr>
          <w:p w14:paraId="4D81F4D8"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14936</w:t>
            </w:r>
          </w:p>
        </w:tc>
        <w:tc>
          <w:tcPr>
            <w:tcW w:w="1355" w:type="dxa"/>
            <w:vAlign w:val="center"/>
          </w:tcPr>
          <w:p w14:paraId="0D9AE8D3"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公、铁</w:t>
            </w:r>
          </w:p>
        </w:tc>
      </w:tr>
      <w:tr w:rsidR="00CC512B" w14:paraId="068715D5" w14:textId="77777777">
        <w:tc>
          <w:tcPr>
            <w:tcW w:w="846" w:type="dxa"/>
            <w:vAlign w:val="center"/>
          </w:tcPr>
          <w:p w14:paraId="32F1EDA5"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黔西北</w:t>
            </w:r>
          </w:p>
        </w:tc>
        <w:tc>
          <w:tcPr>
            <w:tcW w:w="4819" w:type="dxa"/>
            <w:vAlign w:val="center"/>
          </w:tcPr>
          <w:p w14:paraId="06369302"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原煤、生铁、焦炭、洗精煤、粗钢、钢材、水泥、铁矿石等</w:t>
            </w:r>
          </w:p>
        </w:tc>
        <w:tc>
          <w:tcPr>
            <w:tcW w:w="1276" w:type="dxa"/>
            <w:vAlign w:val="center"/>
          </w:tcPr>
          <w:p w14:paraId="76B272D0"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12999</w:t>
            </w:r>
          </w:p>
        </w:tc>
        <w:tc>
          <w:tcPr>
            <w:tcW w:w="1355" w:type="dxa"/>
            <w:vAlign w:val="center"/>
          </w:tcPr>
          <w:p w14:paraId="36EB9385"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铁、公</w:t>
            </w:r>
          </w:p>
        </w:tc>
      </w:tr>
      <w:tr w:rsidR="00CC512B" w14:paraId="4D4FA6BC" w14:textId="77777777">
        <w:tc>
          <w:tcPr>
            <w:tcW w:w="846" w:type="dxa"/>
            <w:vAlign w:val="center"/>
          </w:tcPr>
          <w:p w14:paraId="075D4EEB"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滇东北</w:t>
            </w:r>
          </w:p>
        </w:tc>
        <w:tc>
          <w:tcPr>
            <w:tcW w:w="4819" w:type="dxa"/>
            <w:vAlign w:val="center"/>
          </w:tcPr>
          <w:p w14:paraId="21A94C3D"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煤炭、铁矿石、合成氨、化肥、钢材、水泥等</w:t>
            </w:r>
          </w:p>
        </w:tc>
        <w:tc>
          <w:tcPr>
            <w:tcW w:w="1276" w:type="dxa"/>
            <w:vAlign w:val="center"/>
          </w:tcPr>
          <w:p w14:paraId="76DE82D8"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7951</w:t>
            </w:r>
          </w:p>
        </w:tc>
        <w:tc>
          <w:tcPr>
            <w:tcW w:w="1355" w:type="dxa"/>
            <w:vAlign w:val="center"/>
          </w:tcPr>
          <w:p w14:paraId="514E8BA2"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铁、公</w:t>
            </w:r>
          </w:p>
        </w:tc>
      </w:tr>
    </w:tbl>
    <w:p w14:paraId="03BC4ED2" w14:textId="77777777" w:rsidR="00CC512B" w:rsidRDefault="00000000">
      <w:pPr>
        <w:pStyle w:val="3"/>
        <w:rPr>
          <w:rFonts w:ascii="Times New Roman" w:hAnsi="Times New Roman" w:cs="Times New Roman"/>
        </w:rPr>
      </w:pPr>
      <w:bookmarkStart w:id="5" w:name="_Toc144363198"/>
      <w:r>
        <w:rPr>
          <w:rFonts w:ascii="Times New Roman" w:hAnsi="Times New Roman" w:cs="Times New Roman"/>
        </w:rPr>
        <w:t>1.1.2</w:t>
      </w:r>
      <w:r>
        <w:rPr>
          <w:rFonts w:ascii="Times New Roman" w:hAnsi="Times New Roman" w:cs="Times New Roman"/>
        </w:rPr>
        <w:t>问题</w:t>
      </w:r>
      <w:bookmarkEnd w:id="5"/>
    </w:p>
    <w:p w14:paraId="6A287D91" w14:textId="77777777" w:rsidR="00CC512B" w:rsidRDefault="00000000">
      <w:pPr>
        <w:spacing w:line="360" w:lineRule="auto"/>
        <w:ind w:firstLine="480"/>
        <w:rPr>
          <w:rFonts w:ascii="Times New Roman" w:eastAsia="宋体" w:hAnsi="Times New Roman" w:cs="Times New Roman"/>
          <w:b/>
          <w:bCs/>
          <w:sz w:val="24"/>
          <w:szCs w:val="24"/>
        </w:rPr>
      </w:pPr>
      <w:r>
        <w:rPr>
          <w:rFonts w:ascii="Times New Roman" w:eastAsia="宋体" w:hAnsi="Times New Roman" w:cs="Times New Roman"/>
          <w:b/>
          <w:bCs/>
          <w:sz w:val="24"/>
          <w:szCs w:val="24"/>
          <w:lang w:eastAsia="zh-Hans"/>
        </w:rPr>
        <w:t>（</w:t>
      </w:r>
      <w:r>
        <w:rPr>
          <w:rFonts w:ascii="Times New Roman" w:eastAsia="宋体" w:hAnsi="Times New Roman" w:cs="Times New Roman"/>
          <w:b/>
          <w:bCs/>
          <w:sz w:val="24"/>
          <w:szCs w:val="24"/>
          <w:lang w:eastAsia="zh-Hans"/>
        </w:rPr>
        <w:t>1</w:t>
      </w:r>
      <w:r>
        <w:rPr>
          <w:rFonts w:ascii="Times New Roman" w:eastAsia="宋体" w:hAnsi="Times New Roman" w:cs="Times New Roman"/>
          <w:b/>
          <w:bCs/>
          <w:sz w:val="24"/>
          <w:szCs w:val="24"/>
          <w:lang w:eastAsia="zh-Hans"/>
        </w:rPr>
        <w:t>）</w:t>
      </w:r>
      <w:r>
        <w:rPr>
          <w:rFonts w:ascii="Times New Roman" w:eastAsia="宋体" w:hAnsi="Times New Roman" w:cs="Times New Roman" w:hint="eastAsia"/>
          <w:b/>
          <w:bCs/>
          <w:sz w:val="24"/>
          <w:szCs w:val="24"/>
          <w:lang w:eastAsia="zh-Hans"/>
        </w:rPr>
        <w:t>宜宾市如何依托其多式联运体系优势，与周边区域协同发展？</w:t>
      </w:r>
      <w:r>
        <w:rPr>
          <w:rFonts w:ascii="Times New Roman" w:eastAsia="宋体" w:hAnsi="Times New Roman" w:cs="Times New Roman" w:hint="eastAsia"/>
          <w:b/>
          <w:bCs/>
          <w:sz w:val="24"/>
          <w:szCs w:val="24"/>
        </w:rPr>
        <w:t xml:space="preserve"> </w:t>
      </w:r>
      <w:r>
        <w:rPr>
          <w:rFonts w:ascii="Times New Roman" w:eastAsia="宋体" w:hAnsi="Times New Roman" w:cs="Times New Roman"/>
          <w:b/>
          <w:bCs/>
          <w:sz w:val="24"/>
          <w:szCs w:val="24"/>
        </w:rPr>
        <w:t xml:space="preserve"> </w:t>
      </w:r>
    </w:p>
    <w:p w14:paraId="2E66151E"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宜宾地处长江黄金水道的起点、川滇黔区域的战略要地，是川南对外物流通道的重要组成部分</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虽然各类规划均提出要融入成渝地区双城经济圈建设、打造东西南北四向国际物流通道，但具体要如何依托政策、产业、区位、基础设施等优势，</w:t>
      </w:r>
      <w:r>
        <w:rPr>
          <w:rFonts w:ascii="Times New Roman" w:eastAsia="宋体" w:hAnsi="Times New Roman" w:cs="Times New Roman" w:hint="eastAsia"/>
          <w:sz w:val="24"/>
          <w:szCs w:val="24"/>
          <w:lang w:eastAsia="zh-Hans"/>
        </w:rPr>
        <w:t>做好错位发展方案、协同组织货源，</w:t>
      </w:r>
      <w:r>
        <w:rPr>
          <w:rFonts w:ascii="Times New Roman" w:eastAsia="宋体" w:hAnsi="Times New Roman" w:cs="Times New Roman"/>
          <w:sz w:val="24"/>
          <w:szCs w:val="24"/>
          <w:lang w:eastAsia="zh-Hans"/>
        </w:rPr>
        <w:t>真正将宜宾市物流业的发展融入双城经济圈、国际</w:t>
      </w:r>
      <w:r>
        <w:rPr>
          <w:rFonts w:ascii="Times New Roman" w:eastAsia="宋体" w:hAnsi="Times New Roman" w:cs="Times New Roman" w:hint="eastAsia"/>
          <w:sz w:val="24"/>
          <w:szCs w:val="24"/>
          <w:lang w:eastAsia="zh-Hans"/>
        </w:rPr>
        <w:t>国内</w:t>
      </w:r>
      <w:r>
        <w:rPr>
          <w:rFonts w:ascii="Times New Roman" w:eastAsia="宋体" w:hAnsi="Times New Roman" w:cs="Times New Roman"/>
          <w:sz w:val="24"/>
          <w:szCs w:val="24"/>
          <w:lang w:eastAsia="zh-Hans"/>
        </w:rPr>
        <w:t>物流通道等的建设中，</w:t>
      </w:r>
      <w:r>
        <w:rPr>
          <w:rFonts w:ascii="Times New Roman" w:eastAsia="宋体" w:hAnsi="Times New Roman" w:cs="Times New Roman" w:hint="eastAsia"/>
          <w:sz w:val="24"/>
          <w:szCs w:val="24"/>
          <w:lang w:eastAsia="zh-Hans"/>
        </w:rPr>
        <w:t>是值得探索的重要问题</w:t>
      </w:r>
      <w:r>
        <w:rPr>
          <w:rFonts w:ascii="Times New Roman" w:eastAsia="宋体" w:hAnsi="Times New Roman" w:cs="Times New Roman"/>
          <w:sz w:val="24"/>
          <w:szCs w:val="24"/>
          <w:lang w:eastAsia="zh-Hans"/>
        </w:rPr>
        <w:t>。</w:t>
      </w:r>
      <w:r>
        <w:rPr>
          <w:rFonts w:ascii="Times New Roman" w:eastAsia="宋体" w:hAnsi="Times New Roman" w:cs="Times New Roman" w:hint="eastAsia"/>
          <w:sz w:val="24"/>
          <w:szCs w:val="24"/>
          <w:lang w:eastAsia="zh-Hans"/>
        </w:rPr>
        <w:t>如何融入成渝地区中欧班列、西部陆海新通道等的建设，在共建长江航运中心发挥宜宾作用？</w:t>
      </w:r>
    </w:p>
    <w:p w14:paraId="1D44F9E4" w14:textId="77777777" w:rsidR="00CC512B" w:rsidRDefault="00000000">
      <w:pPr>
        <w:spacing w:line="360" w:lineRule="auto"/>
        <w:ind w:firstLine="480"/>
        <w:rPr>
          <w:rFonts w:ascii="Times New Roman" w:eastAsia="宋体" w:hAnsi="Times New Roman" w:cs="Times New Roman"/>
          <w:b/>
          <w:bCs/>
          <w:sz w:val="24"/>
          <w:szCs w:val="24"/>
          <w:lang w:eastAsia="zh-Hans"/>
        </w:rPr>
      </w:pPr>
      <w:r>
        <w:rPr>
          <w:rFonts w:ascii="Times New Roman" w:eastAsia="宋体" w:hAnsi="Times New Roman" w:cs="Times New Roman" w:hint="eastAsia"/>
          <w:b/>
          <w:bCs/>
          <w:sz w:val="24"/>
          <w:szCs w:val="24"/>
          <w:lang w:eastAsia="zh-Hans"/>
        </w:rPr>
        <w:t>（</w:t>
      </w:r>
      <w:r>
        <w:rPr>
          <w:rFonts w:ascii="Times New Roman" w:eastAsia="宋体" w:hAnsi="Times New Roman" w:cs="Times New Roman" w:hint="eastAsia"/>
          <w:b/>
          <w:bCs/>
          <w:sz w:val="24"/>
          <w:szCs w:val="24"/>
        </w:rPr>
        <w:t>2</w:t>
      </w:r>
      <w:r>
        <w:rPr>
          <w:rFonts w:ascii="Times New Roman" w:eastAsia="宋体" w:hAnsi="Times New Roman" w:cs="Times New Roman" w:hint="eastAsia"/>
          <w:b/>
          <w:bCs/>
          <w:sz w:val="24"/>
          <w:szCs w:val="24"/>
          <w:lang w:eastAsia="zh-Hans"/>
        </w:rPr>
        <w:t>）多式联运体系内部各运输方式之间应该如何协同发展？</w:t>
      </w:r>
    </w:p>
    <w:p w14:paraId="7A335912"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宜宾市存在构建</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铁公水空</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立体交通体系的硬件基础，但在实际运营过程中，公路运输</w:t>
      </w:r>
      <w:r>
        <w:rPr>
          <w:rFonts w:ascii="Times New Roman" w:eastAsia="宋体" w:hAnsi="Times New Roman" w:cs="Times New Roman" w:hint="eastAsia"/>
          <w:sz w:val="24"/>
          <w:szCs w:val="24"/>
          <w:lang w:eastAsia="zh-Hans"/>
        </w:rPr>
        <w:t>货运量</w:t>
      </w:r>
      <w:r>
        <w:rPr>
          <w:rFonts w:ascii="Times New Roman" w:eastAsia="宋体" w:hAnsi="Times New Roman" w:cs="Times New Roman"/>
          <w:sz w:val="24"/>
          <w:szCs w:val="24"/>
          <w:lang w:eastAsia="zh-Hans"/>
        </w:rPr>
        <w:t>占</w:t>
      </w:r>
      <w:r>
        <w:rPr>
          <w:rFonts w:ascii="Times New Roman" w:eastAsia="宋体" w:hAnsi="Times New Roman" w:cs="Times New Roman" w:hint="eastAsia"/>
          <w:sz w:val="24"/>
          <w:szCs w:val="24"/>
          <w:lang w:eastAsia="zh-Hans"/>
        </w:rPr>
        <w:t>总货运量的比例</w:t>
      </w:r>
      <w:r>
        <w:rPr>
          <w:rFonts w:ascii="Times New Roman" w:eastAsia="宋体" w:hAnsi="Times New Roman" w:cs="Times New Roman"/>
          <w:sz w:val="24"/>
          <w:szCs w:val="24"/>
          <w:lang w:eastAsia="zh-Hans"/>
        </w:rPr>
        <w:t>约</w:t>
      </w:r>
      <w:r>
        <w:rPr>
          <w:rFonts w:ascii="Times New Roman" w:eastAsia="宋体" w:hAnsi="Times New Roman" w:cs="Times New Roman"/>
          <w:sz w:val="24"/>
          <w:szCs w:val="24"/>
        </w:rPr>
        <w:t>80%</w:t>
      </w:r>
      <w:r>
        <w:rPr>
          <w:rFonts w:ascii="Times New Roman" w:eastAsia="宋体" w:hAnsi="Times New Roman" w:cs="Times New Roman"/>
          <w:sz w:val="24"/>
          <w:szCs w:val="24"/>
        </w:rPr>
        <w:t>，铁路运输</w:t>
      </w:r>
      <w:r>
        <w:rPr>
          <w:rFonts w:ascii="Times New Roman" w:eastAsia="宋体" w:hAnsi="Times New Roman" w:cs="Times New Roman" w:hint="eastAsia"/>
          <w:sz w:val="24"/>
          <w:szCs w:val="24"/>
        </w:rPr>
        <w:t>货运量</w:t>
      </w:r>
      <w:r>
        <w:rPr>
          <w:rFonts w:ascii="Times New Roman" w:eastAsia="宋体" w:hAnsi="Times New Roman" w:cs="Times New Roman"/>
          <w:sz w:val="24"/>
          <w:szCs w:val="24"/>
        </w:rPr>
        <w:t>约占</w:t>
      </w:r>
      <w:r>
        <w:rPr>
          <w:rFonts w:ascii="Times New Roman" w:eastAsia="宋体" w:hAnsi="Times New Roman" w:cs="Times New Roman"/>
          <w:sz w:val="24"/>
          <w:szCs w:val="24"/>
        </w:rPr>
        <w:t>11%</w:t>
      </w:r>
      <w:r>
        <w:rPr>
          <w:rFonts w:ascii="Times New Roman" w:eastAsia="宋体" w:hAnsi="Times New Roman" w:cs="Times New Roman"/>
          <w:sz w:val="24"/>
          <w:szCs w:val="24"/>
        </w:rPr>
        <w:t>，最后是水路运输和航空，</w:t>
      </w:r>
      <w:r>
        <w:rPr>
          <w:rFonts w:ascii="Times New Roman" w:eastAsia="宋体" w:hAnsi="Times New Roman" w:cs="Times New Roman"/>
          <w:sz w:val="24"/>
          <w:szCs w:val="24"/>
          <w:lang w:eastAsia="zh-Hans"/>
        </w:rPr>
        <w:t>各</w:t>
      </w:r>
      <w:r>
        <w:rPr>
          <w:rFonts w:ascii="Times New Roman" w:eastAsia="宋体" w:hAnsi="Times New Roman" w:cs="Times New Roman" w:hint="eastAsia"/>
          <w:sz w:val="24"/>
          <w:szCs w:val="24"/>
          <w:lang w:eastAsia="zh-Hans"/>
        </w:rPr>
        <w:t>种</w:t>
      </w:r>
      <w:r>
        <w:rPr>
          <w:rFonts w:ascii="Times New Roman" w:eastAsia="宋体" w:hAnsi="Times New Roman" w:cs="Times New Roman"/>
          <w:sz w:val="24"/>
          <w:szCs w:val="24"/>
          <w:lang w:eastAsia="zh-Hans"/>
        </w:rPr>
        <w:t>运输方式之间</w:t>
      </w:r>
      <w:r>
        <w:rPr>
          <w:rFonts w:ascii="Times New Roman" w:eastAsia="宋体" w:hAnsi="Times New Roman" w:cs="Times New Roman" w:hint="eastAsia"/>
          <w:sz w:val="24"/>
          <w:szCs w:val="24"/>
          <w:lang w:eastAsia="zh-Hans"/>
        </w:rPr>
        <w:t>仍然存在各自为政，缺少协同等问题</w:t>
      </w:r>
      <w:r>
        <w:rPr>
          <w:rFonts w:ascii="Times New Roman" w:eastAsia="宋体" w:hAnsi="Times New Roman" w:cs="Times New Roman"/>
          <w:sz w:val="24"/>
          <w:szCs w:val="24"/>
          <w:lang w:eastAsia="zh-Hans"/>
        </w:rPr>
        <w:t>。如何通过多方协作、信息共享等途径</w:t>
      </w:r>
      <w:r>
        <w:rPr>
          <w:rFonts w:ascii="Times New Roman" w:eastAsia="宋体" w:hAnsi="Times New Roman" w:cs="Times New Roman" w:hint="eastAsia"/>
          <w:sz w:val="24"/>
          <w:szCs w:val="24"/>
          <w:lang w:eastAsia="zh-Hans"/>
        </w:rPr>
        <w:t>，从机制和平台等角度着手</w:t>
      </w:r>
      <w:r>
        <w:rPr>
          <w:rFonts w:ascii="Times New Roman" w:eastAsia="宋体" w:hAnsi="Times New Roman" w:cs="Times New Roman"/>
          <w:sz w:val="24"/>
          <w:szCs w:val="24"/>
          <w:lang w:eastAsia="zh-Hans"/>
        </w:rPr>
        <w:t>，真正实现多式联运，发挥宜宾市</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铁公水空</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一体化优势，是影响宜宾市物流业发展的一个重要问题。</w:t>
      </w:r>
      <w:r>
        <w:rPr>
          <w:rFonts w:ascii="Times New Roman" w:eastAsia="宋体" w:hAnsi="Times New Roman" w:cs="Times New Roman"/>
          <w:sz w:val="24"/>
          <w:szCs w:val="24"/>
          <w:lang w:eastAsia="zh-Hans"/>
        </w:rPr>
        <w:t xml:space="preserve"> </w:t>
      </w:r>
    </w:p>
    <w:p w14:paraId="1EECFF0D"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lang w:eastAsia="zh-Hans"/>
        </w:rPr>
        <w:t>以铁水联运系统为例，宜宾港进港铁路即将投入使用，但在</w:t>
      </w:r>
      <w:r>
        <w:rPr>
          <w:rFonts w:ascii="Times New Roman" w:eastAsia="宋体" w:hAnsi="Times New Roman" w:cs="Times New Roman"/>
          <w:sz w:val="24"/>
          <w:szCs w:val="24"/>
          <w:lang w:eastAsia="zh-Hans"/>
        </w:rPr>
        <w:t>考虑多主</w:t>
      </w:r>
      <w:r>
        <w:rPr>
          <w:rFonts w:ascii="Times New Roman" w:eastAsia="宋体" w:hAnsi="Times New Roman" w:cs="Times New Roman" w:hint="eastAsia"/>
          <w:sz w:val="24"/>
          <w:szCs w:val="24"/>
          <w:lang w:eastAsia="zh-Hans"/>
        </w:rPr>
        <w:t>体（港口、铁路部门等）</w:t>
      </w:r>
      <w:r>
        <w:rPr>
          <w:rFonts w:ascii="Times New Roman" w:eastAsia="宋体" w:hAnsi="Times New Roman" w:cs="Times New Roman"/>
          <w:sz w:val="24"/>
          <w:szCs w:val="24"/>
          <w:lang w:eastAsia="zh-Hans"/>
        </w:rPr>
        <w:t>不同属性</w:t>
      </w:r>
      <w:r>
        <w:rPr>
          <w:rFonts w:ascii="Times New Roman" w:eastAsia="宋体" w:hAnsi="Times New Roman" w:cs="Times New Roman" w:hint="eastAsia"/>
          <w:sz w:val="24"/>
          <w:szCs w:val="24"/>
          <w:lang w:eastAsia="zh-Hans"/>
        </w:rPr>
        <w:t>的背景下</w:t>
      </w:r>
      <w:r>
        <w:rPr>
          <w:rFonts w:ascii="Times New Roman" w:eastAsia="宋体" w:hAnsi="Times New Roman" w:cs="Times New Roman"/>
          <w:sz w:val="24"/>
          <w:szCs w:val="24"/>
          <w:lang w:eastAsia="zh-Hans"/>
        </w:rPr>
        <w:t>，如何协同</w:t>
      </w:r>
      <w:r>
        <w:rPr>
          <w:rFonts w:ascii="Times New Roman" w:eastAsia="宋体" w:hAnsi="Times New Roman" w:cs="Times New Roman" w:hint="eastAsia"/>
          <w:sz w:val="24"/>
          <w:szCs w:val="24"/>
          <w:lang w:eastAsia="zh-Hans"/>
        </w:rPr>
        <w:t>铁路和水路</w:t>
      </w:r>
      <w:r>
        <w:rPr>
          <w:rFonts w:ascii="Times New Roman" w:eastAsia="宋体" w:hAnsi="Times New Roman" w:cs="Times New Roman"/>
          <w:sz w:val="24"/>
          <w:szCs w:val="24"/>
          <w:lang w:eastAsia="zh-Hans"/>
        </w:rPr>
        <w:t>运输组织模式，</w:t>
      </w:r>
      <w:r>
        <w:rPr>
          <w:rFonts w:ascii="Times New Roman" w:eastAsia="宋体" w:hAnsi="Times New Roman" w:cs="Times New Roman" w:hint="eastAsia"/>
          <w:sz w:val="24"/>
          <w:szCs w:val="24"/>
          <w:lang w:eastAsia="zh-Hans"/>
        </w:rPr>
        <w:t>科学合理安排航运班次和铁路班列开行方案，进而减少货物中间装卸和存储过程，提高物流效率、降低物流成本，</w:t>
      </w:r>
      <w:r>
        <w:rPr>
          <w:rFonts w:ascii="Times New Roman" w:eastAsia="宋体" w:hAnsi="Times New Roman" w:cs="Times New Roman"/>
          <w:sz w:val="24"/>
          <w:szCs w:val="24"/>
          <w:lang w:eastAsia="zh-Hans"/>
        </w:rPr>
        <w:t>也是宜宾构建</w:t>
      </w:r>
      <w:r>
        <w:rPr>
          <w:rFonts w:ascii="Times New Roman" w:eastAsia="宋体" w:hAnsi="Times New Roman" w:cs="Times New Roman" w:hint="eastAsia"/>
          <w:sz w:val="24"/>
          <w:szCs w:val="24"/>
          <w:lang w:eastAsia="zh-Hans"/>
        </w:rPr>
        <w:t>互联互通</w:t>
      </w:r>
      <w:r>
        <w:rPr>
          <w:rFonts w:ascii="Times New Roman" w:eastAsia="宋体" w:hAnsi="Times New Roman" w:cs="Times New Roman"/>
          <w:sz w:val="24"/>
          <w:szCs w:val="24"/>
          <w:lang w:eastAsia="zh-Hans"/>
        </w:rPr>
        <w:t>多式联运体系的关键问题。</w:t>
      </w:r>
      <w:r>
        <w:rPr>
          <w:rFonts w:ascii="Times New Roman" w:eastAsia="宋体" w:hAnsi="Times New Roman" w:cs="Times New Roman" w:hint="eastAsia"/>
          <w:sz w:val="24"/>
          <w:szCs w:val="24"/>
          <w:lang w:eastAsia="zh-Hans"/>
        </w:rPr>
        <w:t>除了铁水联运外，公水联运、铁公联运等体系的协同发展，也有同样的问题亟待解决。</w:t>
      </w:r>
    </w:p>
    <w:p w14:paraId="050164C7" w14:textId="77777777" w:rsidR="00CC512B" w:rsidRDefault="00000000">
      <w:pPr>
        <w:pStyle w:val="2"/>
        <w:rPr>
          <w:rFonts w:ascii="Times New Roman" w:hAnsi="Times New Roman" w:cs="Times New Roman"/>
        </w:rPr>
      </w:pPr>
      <w:bookmarkStart w:id="6" w:name="_Toc144363199"/>
      <w:r>
        <w:rPr>
          <w:rFonts w:ascii="Times New Roman" w:hAnsi="Times New Roman" w:cs="Times New Roman"/>
        </w:rPr>
        <w:lastRenderedPageBreak/>
        <w:t>1.2</w:t>
      </w:r>
      <w:r>
        <w:rPr>
          <w:rFonts w:ascii="Times New Roman" w:hAnsi="Times New Roman" w:cs="Times New Roman" w:hint="eastAsia"/>
        </w:rPr>
        <w:t>物流与制造业、商贸业的融合发展问题</w:t>
      </w:r>
      <w:bookmarkEnd w:id="6"/>
    </w:p>
    <w:p w14:paraId="2183CB9C" w14:textId="77777777" w:rsidR="00CC512B" w:rsidRDefault="00000000">
      <w:pPr>
        <w:pStyle w:val="3"/>
        <w:rPr>
          <w:rFonts w:ascii="Times New Roman" w:hAnsi="Times New Roman" w:cs="Times New Roman"/>
        </w:rPr>
      </w:pPr>
      <w:bookmarkStart w:id="7" w:name="_Toc144363200"/>
      <w:r>
        <w:rPr>
          <w:rFonts w:ascii="Times New Roman" w:hAnsi="Times New Roman" w:cs="Times New Roman"/>
        </w:rPr>
        <w:t>1.2.1</w:t>
      </w:r>
      <w:r>
        <w:rPr>
          <w:rFonts w:ascii="Times New Roman" w:hAnsi="Times New Roman" w:cs="Times New Roman"/>
        </w:rPr>
        <w:t>背景</w:t>
      </w:r>
      <w:bookmarkEnd w:id="7"/>
    </w:p>
    <w:p w14:paraId="5826E4AE"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2021</w:t>
      </w:r>
      <w:r>
        <w:rPr>
          <w:rFonts w:ascii="Times New Roman" w:eastAsia="宋体" w:hAnsi="Times New Roman" w:cs="Times New Roman"/>
          <w:sz w:val="24"/>
          <w:szCs w:val="24"/>
          <w:lang w:eastAsia="zh-Hans"/>
        </w:rPr>
        <w:t>年，宜宾全市社会物流总额达到</w:t>
      </w:r>
      <w:r>
        <w:rPr>
          <w:rFonts w:ascii="Times New Roman" w:eastAsia="宋体" w:hAnsi="Times New Roman" w:cs="Times New Roman"/>
          <w:sz w:val="24"/>
          <w:szCs w:val="24"/>
          <w:lang w:eastAsia="zh-Hans"/>
        </w:rPr>
        <w:t>5417.3</w:t>
      </w:r>
      <w:r>
        <w:rPr>
          <w:rFonts w:ascii="Times New Roman" w:eastAsia="宋体" w:hAnsi="Times New Roman" w:cs="Times New Roman"/>
          <w:sz w:val="24"/>
          <w:szCs w:val="24"/>
          <w:lang w:eastAsia="zh-Hans"/>
        </w:rPr>
        <w:t>亿元，其中，工业品物流总额为</w:t>
      </w:r>
      <w:r>
        <w:rPr>
          <w:rFonts w:ascii="Times New Roman" w:eastAsia="宋体" w:hAnsi="Times New Roman" w:cs="Times New Roman"/>
          <w:sz w:val="24"/>
          <w:szCs w:val="24"/>
          <w:lang w:eastAsia="zh-Hans"/>
        </w:rPr>
        <w:t>3727.6</w:t>
      </w:r>
      <w:r>
        <w:rPr>
          <w:rFonts w:ascii="Times New Roman" w:eastAsia="宋体" w:hAnsi="Times New Roman" w:cs="Times New Roman"/>
          <w:sz w:val="24"/>
          <w:szCs w:val="24"/>
          <w:lang w:eastAsia="zh-Hans"/>
        </w:rPr>
        <w:t>亿元、商贸流通物品物流总额（单位与居民物品物流总额）为</w:t>
      </w:r>
      <w:r>
        <w:rPr>
          <w:rFonts w:ascii="Times New Roman" w:eastAsia="宋体" w:hAnsi="Times New Roman" w:cs="Times New Roman"/>
          <w:sz w:val="24"/>
          <w:szCs w:val="24"/>
          <w:lang w:eastAsia="zh-Hans"/>
        </w:rPr>
        <w:t>1037.2</w:t>
      </w:r>
      <w:r>
        <w:rPr>
          <w:rFonts w:ascii="Times New Roman" w:eastAsia="宋体" w:hAnsi="Times New Roman" w:cs="Times New Roman"/>
          <w:sz w:val="24"/>
          <w:szCs w:val="24"/>
          <w:lang w:eastAsia="zh-Hans"/>
        </w:rPr>
        <w:t>亿元，农产品物流总额为</w:t>
      </w:r>
      <w:r>
        <w:rPr>
          <w:rFonts w:ascii="Times New Roman" w:eastAsia="宋体" w:hAnsi="Times New Roman" w:cs="Times New Roman"/>
          <w:sz w:val="24"/>
          <w:szCs w:val="24"/>
          <w:lang w:eastAsia="zh-Hans"/>
        </w:rPr>
        <w:t>583.4</w:t>
      </w:r>
      <w:r>
        <w:rPr>
          <w:rFonts w:ascii="Times New Roman" w:eastAsia="宋体" w:hAnsi="Times New Roman" w:cs="Times New Roman"/>
          <w:sz w:val="24"/>
          <w:szCs w:val="24"/>
          <w:lang w:eastAsia="zh-Hans"/>
        </w:rPr>
        <w:t>亿元，进口物品物流总额为</w:t>
      </w:r>
      <w:r>
        <w:rPr>
          <w:rFonts w:ascii="Times New Roman" w:eastAsia="宋体" w:hAnsi="Times New Roman" w:cs="Times New Roman"/>
          <w:sz w:val="24"/>
          <w:szCs w:val="24"/>
          <w:lang w:eastAsia="zh-Hans"/>
        </w:rPr>
        <w:t>69.1</w:t>
      </w:r>
      <w:r>
        <w:rPr>
          <w:rFonts w:ascii="Times New Roman" w:eastAsia="宋体" w:hAnsi="Times New Roman" w:cs="Times New Roman"/>
          <w:sz w:val="24"/>
          <w:szCs w:val="24"/>
          <w:lang w:eastAsia="zh-Hans"/>
        </w:rPr>
        <w:t>亿元，物流需求量持续上升。</w:t>
      </w:r>
    </w:p>
    <w:p w14:paraId="671FCC36" w14:textId="77777777" w:rsidR="00CC512B" w:rsidRDefault="00000000">
      <w:pPr>
        <w:spacing w:line="360" w:lineRule="auto"/>
        <w:ind w:firstLine="480"/>
        <w:rPr>
          <w:rFonts w:ascii="Times New Roman" w:eastAsia="宋体" w:hAnsi="Times New Roman" w:cs="Times New Roman"/>
          <w:b/>
          <w:bCs/>
          <w:sz w:val="24"/>
          <w:szCs w:val="24"/>
          <w:lang w:eastAsia="zh-Hans"/>
        </w:rPr>
      </w:pPr>
      <w:r>
        <w:rPr>
          <w:rFonts w:ascii="Times New Roman" w:eastAsia="宋体" w:hAnsi="Times New Roman" w:cs="Times New Roman" w:hint="eastAsia"/>
          <w:b/>
          <w:bCs/>
          <w:sz w:val="24"/>
          <w:szCs w:val="24"/>
          <w:lang w:eastAsia="zh-Hans"/>
        </w:rPr>
        <w:t>（</w:t>
      </w:r>
      <w:r>
        <w:rPr>
          <w:rFonts w:ascii="Times New Roman" w:eastAsia="宋体" w:hAnsi="Times New Roman" w:cs="Times New Roman" w:hint="eastAsia"/>
          <w:b/>
          <w:bCs/>
          <w:sz w:val="24"/>
          <w:szCs w:val="24"/>
        </w:rPr>
        <w:t>1</w:t>
      </w:r>
      <w:r>
        <w:rPr>
          <w:rFonts w:ascii="Times New Roman" w:eastAsia="宋体" w:hAnsi="Times New Roman" w:cs="Times New Roman" w:hint="eastAsia"/>
          <w:b/>
          <w:bCs/>
          <w:sz w:val="24"/>
          <w:szCs w:val="24"/>
          <w:lang w:eastAsia="zh-Hans"/>
        </w:rPr>
        <w:t>）宜宾市制造业的物流现状概况</w:t>
      </w:r>
    </w:p>
    <w:p w14:paraId="49EA2E20"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lang w:eastAsia="zh-Hans"/>
        </w:rPr>
        <w:t>宜宾市的制造业，主要包括传统制造业（如白酒食品、能源轻纺等）和先进制造业（如高端装备制造和动力电池、新材料和精细化工等）。</w:t>
      </w:r>
      <w:r>
        <w:rPr>
          <w:rFonts w:ascii="Times New Roman" w:eastAsia="宋体" w:hAnsi="Times New Roman" w:cs="Times New Roman"/>
          <w:sz w:val="24"/>
          <w:szCs w:val="24"/>
        </w:rPr>
        <w:t>2020</w:t>
      </w:r>
      <w:r>
        <w:rPr>
          <w:rFonts w:ascii="Times New Roman" w:eastAsia="宋体" w:hAnsi="Times New Roman" w:cs="Times New Roman"/>
          <w:sz w:val="24"/>
          <w:szCs w:val="24"/>
        </w:rPr>
        <w:t>年各产业货运量和物流统计量如表</w:t>
      </w:r>
      <w:r>
        <w:rPr>
          <w:rFonts w:ascii="Times New Roman" w:eastAsia="宋体" w:hAnsi="Times New Roman" w:cs="Times New Roman"/>
          <w:sz w:val="24"/>
          <w:szCs w:val="24"/>
        </w:rPr>
        <w:t>2</w:t>
      </w:r>
      <w:r>
        <w:rPr>
          <w:rFonts w:ascii="Times New Roman" w:eastAsia="宋体" w:hAnsi="Times New Roman" w:cs="Times New Roman"/>
          <w:sz w:val="24"/>
          <w:szCs w:val="24"/>
        </w:rPr>
        <w:t>所示。</w:t>
      </w:r>
    </w:p>
    <w:p w14:paraId="37F85ACA" w14:textId="77777777" w:rsidR="00CC512B" w:rsidRDefault="00000000">
      <w:pPr>
        <w:spacing w:line="360" w:lineRule="auto"/>
        <w:ind w:firstLine="480"/>
        <w:jc w:val="center"/>
        <w:rPr>
          <w:rFonts w:ascii="Times New Roman" w:eastAsia="黑体" w:hAnsi="Times New Roman" w:cs="Times New Roman"/>
          <w:sz w:val="20"/>
          <w:szCs w:val="20"/>
        </w:rPr>
      </w:pPr>
      <w:r>
        <w:rPr>
          <w:rFonts w:ascii="Times New Roman" w:eastAsia="黑体" w:hAnsi="Times New Roman" w:cs="Times New Roman"/>
          <w:sz w:val="20"/>
          <w:szCs w:val="20"/>
        </w:rPr>
        <w:t>表</w:t>
      </w:r>
      <w:r>
        <w:rPr>
          <w:rFonts w:ascii="Times New Roman" w:eastAsia="黑体" w:hAnsi="Times New Roman" w:cs="Times New Roman"/>
          <w:sz w:val="20"/>
          <w:szCs w:val="20"/>
        </w:rPr>
        <w:t>2 2020</w:t>
      </w:r>
      <w:r>
        <w:rPr>
          <w:rFonts w:ascii="Times New Roman" w:eastAsia="黑体" w:hAnsi="Times New Roman" w:cs="Times New Roman"/>
          <w:sz w:val="20"/>
          <w:szCs w:val="20"/>
        </w:rPr>
        <w:t>年宜宾市各产业货运量与物流量统计</w:t>
      </w:r>
    </w:p>
    <w:tbl>
      <w:tblPr>
        <w:tblStyle w:val="af3"/>
        <w:tblW w:w="0" w:type="auto"/>
        <w:jc w:val="center"/>
        <w:tblLook w:val="04A0" w:firstRow="1" w:lastRow="0" w:firstColumn="1" w:lastColumn="0" w:noHBand="0" w:noVBand="1"/>
      </w:tblPr>
      <w:tblGrid>
        <w:gridCol w:w="421"/>
        <w:gridCol w:w="1275"/>
        <w:gridCol w:w="2451"/>
        <w:gridCol w:w="1093"/>
        <w:gridCol w:w="1673"/>
        <w:gridCol w:w="1383"/>
      </w:tblGrid>
      <w:tr w:rsidR="00CC512B" w14:paraId="3C7C52DC" w14:textId="77777777">
        <w:trPr>
          <w:trHeight w:val="583"/>
          <w:jc w:val="center"/>
        </w:trPr>
        <w:tc>
          <w:tcPr>
            <w:tcW w:w="4147" w:type="dxa"/>
            <w:gridSpan w:val="3"/>
            <w:vAlign w:val="center"/>
          </w:tcPr>
          <w:p w14:paraId="4DBFD711"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产业类别</w:t>
            </w:r>
          </w:p>
        </w:tc>
        <w:tc>
          <w:tcPr>
            <w:tcW w:w="1093" w:type="dxa"/>
            <w:vAlign w:val="center"/>
          </w:tcPr>
          <w:p w14:paraId="53AA7F4A"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货运量（万吨）</w:t>
            </w:r>
          </w:p>
        </w:tc>
        <w:tc>
          <w:tcPr>
            <w:tcW w:w="1673" w:type="dxa"/>
            <w:vAlign w:val="center"/>
          </w:tcPr>
          <w:p w14:paraId="4EE22B19"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物流量</w:t>
            </w:r>
          </w:p>
          <w:p w14:paraId="559C4987"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1383" w:type="dxa"/>
            <w:vAlign w:val="center"/>
          </w:tcPr>
          <w:p w14:paraId="67BDAC03"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占比</w:t>
            </w:r>
          </w:p>
          <w:p w14:paraId="727CE579"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w:t>
            </w:r>
            <w:r>
              <w:rPr>
                <w:rFonts w:ascii="Times New Roman" w:eastAsia="宋体" w:hAnsi="Times New Roman" w:cs="Times New Roman"/>
                <w:sz w:val="20"/>
                <w:szCs w:val="20"/>
              </w:rPr>
              <w:t>%</w:t>
            </w:r>
            <w:r>
              <w:rPr>
                <w:rFonts w:ascii="Times New Roman" w:eastAsia="宋体" w:hAnsi="Times New Roman" w:cs="Times New Roman"/>
                <w:sz w:val="20"/>
                <w:szCs w:val="20"/>
              </w:rPr>
              <w:t>）</w:t>
            </w:r>
          </w:p>
        </w:tc>
      </w:tr>
      <w:tr w:rsidR="00CC512B" w14:paraId="2222B362" w14:textId="77777777">
        <w:trPr>
          <w:jc w:val="center"/>
        </w:trPr>
        <w:tc>
          <w:tcPr>
            <w:tcW w:w="421" w:type="dxa"/>
            <w:vMerge w:val="restart"/>
            <w:vAlign w:val="center"/>
          </w:tcPr>
          <w:p w14:paraId="08839E2A"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工业</w:t>
            </w:r>
          </w:p>
        </w:tc>
        <w:tc>
          <w:tcPr>
            <w:tcW w:w="1275" w:type="dxa"/>
            <w:vMerge w:val="restart"/>
            <w:vAlign w:val="center"/>
          </w:tcPr>
          <w:p w14:paraId="3C575560"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传统制造业</w:t>
            </w:r>
          </w:p>
        </w:tc>
        <w:tc>
          <w:tcPr>
            <w:tcW w:w="2451" w:type="dxa"/>
            <w:vAlign w:val="center"/>
          </w:tcPr>
          <w:p w14:paraId="7D730C7A"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白酒食品</w:t>
            </w:r>
          </w:p>
        </w:tc>
        <w:tc>
          <w:tcPr>
            <w:tcW w:w="1093" w:type="dxa"/>
            <w:vAlign w:val="center"/>
          </w:tcPr>
          <w:p w14:paraId="41B2A4E6"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766.98</w:t>
            </w:r>
          </w:p>
        </w:tc>
        <w:tc>
          <w:tcPr>
            <w:tcW w:w="1673" w:type="dxa"/>
            <w:vAlign w:val="center"/>
          </w:tcPr>
          <w:p w14:paraId="7D6CD9B4"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1227.17</w:t>
            </w:r>
          </w:p>
        </w:tc>
        <w:tc>
          <w:tcPr>
            <w:tcW w:w="1383" w:type="dxa"/>
            <w:vAlign w:val="center"/>
          </w:tcPr>
          <w:p w14:paraId="53E8B98A"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10.37</w:t>
            </w:r>
          </w:p>
        </w:tc>
      </w:tr>
      <w:tr w:rsidR="00CC512B" w14:paraId="57D9E3B9" w14:textId="77777777">
        <w:trPr>
          <w:jc w:val="center"/>
        </w:trPr>
        <w:tc>
          <w:tcPr>
            <w:tcW w:w="421" w:type="dxa"/>
            <w:vMerge/>
            <w:vAlign w:val="center"/>
          </w:tcPr>
          <w:p w14:paraId="28487EAF" w14:textId="77777777" w:rsidR="00CC512B" w:rsidRDefault="00CC512B">
            <w:pPr>
              <w:spacing w:line="360" w:lineRule="auto"/>
              <w:jc w:val="center"/>
              <w:rPr>
                <w:rFonts w:ascii="Times New Roman" w:eastAsia="宋体" w:hAnsi="Times New Roman" w:cs="Times New Roman"/>
                <w:sz w:val="20"/>
                <w:szCs w:val="20"/>
              </w:rPr>
            </w:pPr>
          </w:p>
        </w:tc>
        <w:tc>
          <w:tcPr>
            <w:tcW w:w="1275" w:type="dxa"/>
            <w:vMerge/>
            <w:vAlign w:val="center"/>
          </w:tcPr>
          <w:p w14:paraId="0030CF61" w14:textId="77777777" w:rsidR="00CC512B" w:rsidRDefault="00CC512B">
            <w:pPr>
              <w:spacing w:line="360" w:lineRule="auto"/>
              <w:jc w:val="center"/>
              <w:rPr>
                <w:rFonts w:ascii="Times New Roman" w:eastAsia="宋体" w:hAnsi="Times New Roman" w:cs="Times New Roman"/>
                <w:sz w:val="20"/>
                <w:szCs w:val="20"/>
              </w:rPr>
            </w:pPr>
          </w:p>
        </w:tc>
        <w:tc>
          <w:tcPr>
            <w:tcW w:w="2451" w:type="dxa"/>
            <w:vAlign w:val="center"/>
          </w:tcPr>
          <w:p w14:paraId="6B905A82"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能源轻纺建材</w:t>
            </w:r>
          </w:p>
        </w:tc>
        <w:tc>
          <w:tcPr>
            <w:tcW w:w="1093" w:type="dxa"/>
            <w:vAlign w:val="center"/>
          </w:tcPr>
          <w:p w14:paraId="1BED15C1"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4050.51</w:t>
            </w:r>
          </w:p>
        </w:tc>
        <w:tc>
          <w:tcPr>
            <w:tcW w:w="1673" w:type="dxa"/>
            <w:vAlign w:val="center"/>
          </w:tcPr>
          <w:p w14:paraId="71685DF5"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6480.82</w:t>
            </w:r>
          </w:p>
        </w:tc>
        <w:tc>
          <w:tcPr>
            <w:tcW w:w="1383" w:type="dxa"/>
            <w:vAlign w:val="center"/>
          </w:tcPr>
          <w:p w14:paraId="4BE97FD5"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54.76</w:t>
            </w:r>
          </w:p>
        </w:tc>
      </w:tr>
      <w:tr w:rsidR="00CC512B" w14:paraId="49CCFA9D" w14:textId="77777777">
        <w:trPr>
          <w:jc w:val="center"/>
        </w:trPr>
        <w:tc>
          <w:tcPr>
            <w:tcW w:w="421" w:type="dxa"/>
            <w:vMerge/>
            <w:vAlign w:val="center"/>
          </w:tcPr>
          <w:p w14:paraId="5D0205C6" w14:textId="77777777" w:rsidR="00CC512B" w:rsidRDefault="00CC512B">
            <w:pPr>
              <w:spacing w:line="360" w:lineRule="auto"/>
              <w:jc w:val="center"/>
              <w:rPr>
                <w:rFonts w:ascii="Times New Roman" w:eastAsia="宋体" w:hAnsi="Times New Roman" w:cs="Times New Roman"/>
                <w:sz w:val="20"/>
                <w:szCs w:val="20"/>
              </w:rPr>
            </w:pPr>
          </w:p>
        </w:tc>
        <w:tc>
          <w:tcPr>
            <w:tcW w:w="1275" w:type="dxa"/>
            <w:vMerge w:val="restart"/>
            <w:vAlign w:val="center"/>
          </w:tcPr>
          <w:p w14:paraId="31A46767"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先进制造业</w:t>
            </w:r>
          </w:p>
        </w:tc>
        <w:tc>
          <w:tcPr>
            <w:tcW w:w="2451" w:type="dxa"/>
            <w:vAlign w:val="center"/>
          </w:tcPr>
          <w:p w14:paraId="0B1FB888"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高端装备制造和动力电池</w:t>
            </w:r>
          </w:p>
        </w:tc>
        <w:tc>
          <w:tcPr>
            <w:tcW w:w="1093" w:type="dxa"/>
            <w:vAlign w:val="center"/>
          </w:tcPr>
          <w:p w14:paraId="5AF6F247"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56.85</w:t>
            </w:r>
          </w:p>
        </w:tc>
        <w:tc>
          <w:tcPr>
            <w:tcW w:w="1673" w:type="dxa"/>
            <w:vAlign w:val="center"/>
          </w:tcPr>
          <w:p w14:paraId="4EB96276"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90.96</w:t>
            </w:r>
          </w:p>
        </w:tc>
        <w:tc>
          <w:tcPr>
            <w:tcW w:w="1383" w:type="dxa"/>
            <w:vAlign w:val="center"/>
          </w:tcPr>
          <w:p w14:paraId="39032C73"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0.77</w:t>
            </w:r>
          </w:p>
        </w:tc>
      </w:tr>
      <w:tr w:rsidR="00CC512B" w14:paraId="496601F9" w14:textId="77777777">
        <w:trPr>
          <w:jc w:val="center"/>
        </w:trPr>
        <w:tc>
          <w:tcPr>
            <w:tcW w:w="421" w:type="dxa"/>
            <w:vMerge/>
            <w:vAlign w:val="center"/>
          </w:tcPr>
          <w:p w14:paraId="57B733C6" w14:textId="77777777" w:rsidR="00CC512B" w:rsidRDefault="00CC512B">
            <w:pPr>
              <w:spacing w:line="360" w:lineRule="auto"/>
              <w:rPr>
                <w:rFonts w:ascii="Times New Roman" w:eastAsia="宋体" w:hAnsi="Times New Roman" w:cs="Times New Roman"/>
                <w:sz w:val="20"/>
                <w:szCs w:val="20"/>
              </w:rPr>
            </w:pPr>
          </w:p>
        </w:tc>
        <w:tc>
          <w:tcPr>
            <w:tcW w:w="1275" w:type="dxa"/>
            <w:vMerge/>
            <w:vAlign w:val="center"/>
          </w:tcPr>
          <w:p w14:paraId="2A4A0B7F" w14:textId="77777777" w:rsidR="00CC512B" w:rsidRDefault="00CC512B">
            <w:pPr>
              <w:spacing w:line="360" w:lineRule="auto"/>
              <w:rPr>
                <w:rFonts w:ascii="Times New Roman" w:eastAsia="宋体" w:hAnsi="Times New Roman" w:cs="Times New Roman"/>
                <w:sz w:val="20"/>
                <w:szCs w:val="20"/>
              </w:rPr>
            </w:pPr>
          </w:p>
        </w:tc>
        <w:tc>
          <w:tcPr>
            <w:tcW w:w="2451" w:type="dxa"/>
            <w:vAlign w:val="center"/>
          </w:tcPr>
          <w:p w14:paraId="75A7D56F"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新材料及精细化工</w:t>
            </w:r>
          </w:p>
        </w:tc>
        <w:tc>
          <w:tcPr>
            <w:tcW w:w="1093" w:type="dxa"/>
            <w:vAlign w:val="center"/>
          </w:tcPr>
          <w:p w14:paraId="42B3FC69"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855.12</w:t>
            </w:r>
          </w:p>
        </w:tc>
        <w:tc>
          <w:tcPr>
            <w:tcW w:w="1673" w:type="dxa"/>
            <w:vAlign w:val="center"/>
          </w:tcPr>
          <w:p w14:paraId="0DE71001"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1368.19</w:t>
            </w:r>
          </w:p>
        </w:tc>
        <w:tc>
          <w:tcPr>
            <w:tcW w:w="1383" w:type="dxa"/>
            <w:vAlign w:val="center"/>
          </w:tcPr>
          <w:p w14:paraId="745DB141"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11.56</w:t>
            </w:r>
          </w:p>
        </w:tc>
      </w:tr>
      <w:tr w:rsidR="00CC512B" w14:paraId="76FE9768" w14:textId="77777777">
        <w:trPr>
          <w:jc w:val="center"/>
        </w:trPr>
        <w:tc>
          <w:tcPr>
            <w:tcW w:w="421" w:type="dxa"/>
            <w:vMerge/>
            <w:vAlign w:val="center"/>
          </w:tcPr>
          <w:p w14:paraId="696694EE" w14:textId="77777777" w:rsidR="00CC512B" w:rsidRDefault="00CC512B">
            <w:pPr>
              <w:spacing w:line="360" w:lineRule="auto"/>
              <w:rPr>
                <w:rFonts w:ascii="Times New Roman" w:eastAsia="宋体" w:hAnsi="Times New Roman" w:cs="Times New Roman"/>
                <w:sz w:val="20"/>
                <w:szCs w:val="20"/>
              </w:rPr>
            </w:pPr>
          </w:p>
        </w:tc>
        <w:tc>
          <w:tcPr>
            <w:tcW w:w="3726" w:type="dxa"/>
            <w:gridSpan w:val="2"/>
            <w:vAlign w:val="center"/>
          </w:tcPr>
          <w:p w14:paraId="1F6C68BF"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小计</w:t>
            </w:r>
          </w:p>
        </w:tc>
        <w:tc>
          <w:tcPr>
            <w:tcW w:w="1093" w:type="dxa"/>
            <w:vAlign w:val="center"/>
          </w:tcPr>
          <w:p w14:paraId="1CFB2BA6"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5729.45</w:t>
            </w:r>
          </w:p>
        </w:tc>
        <w:tc>
          <w:tcPr>
            <w:tcW w:w="1673" w:type="dxa"/>
            <w:vAlign w:val="center"/>
          </w:tcPr>
          <w:p w14:paraId="6AC644FC"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9167.14</w:t>
            </w:r>
          </w:p>
        </w:tc>
        <w:tc>
          <w:tcPr>
            <w:tcW w:w="1383" w:type="dxa"/>
            <w:vAlign w:val="center"/>
          </w:tcPr>
          <w:p w14:paraId="535174E7"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77.46</w:t>
            </w:r>
          </w:p>
        </w:tc>
      </w:tr>
      <w:tr w:rsidR="00CC512B" w14:paraId="3A257709" w14:textId="77777777">
        <w:trPr>
          <w:jc w:val="center"/>
        </w:trPr>
        <w:tc>
          <w:tcPr>
            <w:tcW w:w="4147" w:type="dxa"/>
            <w:gridSpan w:val="3"/>
            <w:vAlign w:val="center"/>
          </w:tcPr>
          <w:p w14:paraId="20037AA7"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农业</w:t>
            </w:r>
          </w:p>
        </w:tc>
        <w:tc>
          <w:tcPr>
            <w:tcW w:w="1093" w:type="dxa"/>
            <w:vAlign w:val="center"/>
          </w:tcPr>
          <w:p w14:paraId="40851489"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699.61</w:t>
            </w:r>
          </w:p>
        </w:tc>
        <w:tc>
          <w:tcPr>
            <w:tcW w:w="1673" w:type="dxa"/>
            <w:vAlign w:val="center"/>
          </w:tcPr>
          <w:p w14:paraId="4C71AAA1"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1119.38</w:t>
            </w:r>
          </w:p>
        </w:tc>
        <w:tc>
          <w:tcPr>
            <w:tcW w:w="1383" w:type="dxa"/>
            <w:vAlign w:val="center"/>
          </w:tcPr>
          <w:p w14:paraId="3FABBAAE"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9.46</w:t>
            </w:r>
          </w:p>
        </w:tc>
      </w:tr>
      <w:tr w:rsidR="00CC512B" w14:paraId="2078290E" w14:textId="77777777">
        <w:trPr>
          <w:jc w:val="center"/>
        </w:trPr>
        <w:tc>
          <w:tcPr>
            <w:tcW w:w="4147" w:type="dxa"/>
            <w:gridSpan w:val="3"/>
            <w:vAlign w:val="center"/>
          </w:tcPr>
          <w:p w14:paraId="4A54553B"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商业</w:t>
            </w:r>
          </w:p>
        </w:tc>
        <w:tc>
          <w:tcPr>
            <w:tcW w:w="1093" w:type="dxa"/>
            <w:vAlign w:val="center"/>
          </w:tcPr>
          <w:p w14:paraId="2056A4C8"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887.64</w:t>
            </w:r>
          </w:p>
        </w:tc>
        <w:tc>
          <w:tcPr>
            <w:tcW w:w="1673" w:type="dxa"/>
            <w:vAlign w:val="center"/>
          </w:tcPr>
          <w:p w14:paraId="36FC5929"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1420.22</w:t>
            </w:r>
          </w:p>
        </w:tc>
        <w:tc>
          <w:tcPr>
            <w:tcW w:w="1383" w:type="dxa"/>
            <w:vAlign w:val="center"/>
          </w:tcPr>
          <w:p w14:paraId="09F53ED5"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12</w:t>
            </w:r>
          </w:p>
        </w:tc>
      </w:tr>
      <w:tr w:rsidR="00CC512B" w14:paraId="25DF8A83" w14:textId="77777777">
        <w:trPr>
          <w:jc w:val="center"/>
        </w:trPr>
        <w:tc>
          <w:tcPr>
            <w:tcW w:w="4147" w:type="dxa"/>
            <w:gridSpan w:val="3"/>
            <w:vAlign w:val="center"/>
          </w:tcPr>
          <w:p w14:paraId="3CCBAFFD"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其他</w:t>
            </w:r>
          </w:p>
        </w:tc>
        <w:tc>
          <w:tcPr>
            <w:tcW w:w="1093" w:type="dxa"/>
            <w:vAlign w:val="center"/>
          </w:tcPr>
          <w:p w14:paraId="6D2B55B3"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80.29</w:t>
            </w:r>
          </w:p>
        </w:tc>
        <w:tc>
          <w:tcPr>
            <w:tcW w:w="1673" w:type="dxa"/>
            <w:vAlign w:val="center"/>
          </w:tcPr>
          <w:p w14:paraId="3283973C"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129.46</w:t>
            </w:r>
          </w:p>
        </w:tc>
        <w:tc>
          <w:tcPr>
            <w:tcW w:w="1383" w:type="dxa"/>
            <w:vAlign w:val="center"/>
          </w:tcPr>
          <w:p w14:paraId="7D4D9F27"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1.08</w:t>
            </w:r>
          </w:p>
        </w:tc>
      </w:tr>
      <w:tr w:rsidR="00CC512B" w14:paraId="486B87BF" w14:textId="77777777">
        <w:trPr>
          <w:jc w:val="center"/>
        </w:trPr>
        <w:tc>
          <w:tcPr>
            <w:tcW w:w="4147" w:type="dxa"/>
            <w:gridSpan w:val="3"/>
            <w:vAlign w:val="center"/>
          </w:tcPr>
          <w:p w14:paraId="0BD19A6F"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合计</w:t>
            </w:r>
          </w:p>
        </w:tc>
        <w:tc>
          <w:tcPr>
            <w:tcW w:w="1093" w:type="dxa"/>
            <w:vAlign w:val="center"/>
          </w:tcPr>
          <w:p w14:paraId="031E5BCF"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7397</w:t>
            </w:r>
          </w:p>
        </w:tc>
        <w:tc>
          <w:tcPr>
            <w:tcW w:w="1673" w:type="dxa"/>
            <w:vAlign w:val="center"/>
          </w:tcPr>
          <w:p w14:paraId="3EB4D29D"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11835.2</w:t>
            </w:r>
          </w:p>
        </w:tc>
        <w:tc>
          <w:tcPr>
            <w:tcW w:w="1383" w:type="dxa"/>
            <w:vAlign w:val="center"/>
          </w:tcPr>
          <w:p w14:paraId="3A00B6A4" w14:textId="77777777" w:rsidR="00CC512B" w:rsidRDefault="00000000">
            <w:pPr>
              <w:spacing w:line="36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100</w:t>
            </w:r>
          </w:p>
        </w:tc>
      </w:tr>
    </w:tbl>
    <w:p w14:paraId="60437FE1"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从表</w:t>
      </w:r>
      <w:r>
        <w:rPr>
          <w:rFonts w:ascii="Times New Roman" w:eastAsia="宋体" w:hAnsi="Times New Roman" w:cs="Times New Roman"/>
          <w:sz w:val="24"/>
          <w:szCs w:val="24"/>
        </w:rPr>
        <w:t>2</w:t>
      </w:r>
      <w:r>
        <w:rPr>
          <w:rFonts w:ascii="Times New Roman" w:eastAsia="宋体" w:hAnsi="Times New Roman" w:cs="Times New Roman"/>
          <w:sz w:val="24"/>
          <w:szCs w:val="24"/>
        </w:rPr>
        <w:t>中可以看出，工业物流占比最大，其中能源轻纺建材占据了一半以上的物流量。</w:t>
      </w:r>
    </w:p>
    <w:p w14:paraId="188DBE3F"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白酒食品行业，原材料辅料等主要通过公路、铁路、水路到达宜宾，而产品主要通过公路和铁路运往全国，物流形式以第三方物流为主。</w:t>
      </w:r>
    </w:p>
    <w:p w14:paraId="10C832C2"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轻纺行业，原材料和辅材主要来自江西、山东、新疆、浙江等，运输主要以公路为主，产品主要去往长三角、珠三角、东亚、南亚欧洲等地，运输方式以公路为主、水路为辅，物流形式也主要以第三方物流为主。</w:t>
      </w:r>
    </w:p>
    <w:p w14:paraId="6B4FF4F8"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lastRenderedPageBreak/>
        <w:t>高端装备制造业、动力电池、新材料等行业，运输方式也主要以公路为主，水路、铁路、航空为辅，物流组织形式以第三方物流为主，少部分企业为自营或部分外包。</w:t>
      </w:r>
    </w:p>
    <w:p w14:paraId="7575CCA5"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以宜宾市三江新区部分产业为例，其十四五期间各产业分年度需求如表</w:t>
      </w:r>
      <w:r>
        <w:rPr>
          <w:rFonts w:ascii="Times New Roman" w:eastAsia="宋体" w:hAnsi="Times New Roman" w:cs="Times New Roman"/>
          <w:sz w:val="24"/>
          <w:szCs w:val="24"/>
        </w:rPr>
        <w:t>3</w:t>
      </w:r>
      <w:r>
        <w:rPr>
          <w:rFonts w:ascii="Times New Roman" w:eastAsia="宋体" w:hAnsi="Times New Roman" w:cs="Times New Roman"/>
          <w:sz w:val="24"/>
          <w:szCs w:val="24"/>
        </w:rPr>
        <w:t>所示。</w:t>
      </w:r>
    </w:p>
    <w:p w14:paraId="4338CE34" w14:textId="77777777" w:rsidR="00CC512B" w:rsidRDefault="00000000">
      <w:pPr>
        <w:spacing w:line="600" w:lineRule="exact"/>
        <w:jc w:val="center"/>
        <w:rPr>
          <w:rFonts w:ascii="Times New Roman" w:eastAsia="黑体" w:hAnsi="Times New Roman" w:cs="Times New Roman"/>
          <w:spacing w:val="-4"/>
          <w:szCs w:val="32"/>
        </w:rPr>
      </w:pPr>
      <w:r>
        <w:rPr>
          <w:rFonts w:ascii="Times New Roman" w:eastAsia="黑体" w:hAnsi="Times New Roman" w:cs="Times New Roman"/>
          <w:spacing w:val="-4"/>
          <w:szCs w:val="32"/>
        </w:rPr>
        <w:t>表</w:t>
      </w:r>
      <w:r>
        <w:rPr>
          <w:rFonts w:ascii="Times New Roman" w:eastAsia="黑体" w:hAnsi="Times New Roman" w:cs="Times New Roman"/>
          <w:spacing w:val="-4"/>
          <w:szCs w:val="32"/>
        </w:rPr>
        <w:t xml:space="preserve">3 </w:t>
      </w:r>
      <w:r>
        <w:rPr>
          <w:rFonts w:ascii="Times New Roman" w:eastAsia="黑体" w:hAnsi="Times New Roman" w:cs="Times New Roman"/>
          <w:spacing w:val="-4"/>
          <w:szCs w:val="32"/>
        </w:rPr>
        <w:t>十四五期间各产业分年度需求预测</w:t>
      </w:r>
    </w:p>
    <w:tbl>
      <w:tblPr>
        <w:tblW w:w="5000" w:type="pct"/>
        <w:tblCellMar>
          <w:left w:w="0" w:type="dxa"/>
          <w:right w:w="0" w:type="dxa"/>
        </w:tblCellMar>
        <w:tblLook w:val="04A0" w:firstRow="1" w:lastRow="0" w:firstColumn="1" w:lastColumn="0" w:noHBand="0" w:noVBand="1"/>
      </w:tblPr>
      <w:tblGrid>
        <w:gridCol w:w="529"/>
        <w:gridCol w:w="806"/>
        <w:gridCol w:w="765"/>
        <w:gridCol w:w="765"/>
        <w:gridCol w:w="765"/>
        <w:gridCol w:w="765"/>
        <w:gridCol w:w="803"/>
        <w:gridCol w:w="1719"/>
        <w:gridCol w:w="1379"/>
      </w:tblGrid>
      <w:tr w:rsidR="00CC512B" w14:paraId="4DC92F9E" w14:textId="77777777">
        <w:trPr>
          <w:trHeight w:val="352"/>
        </w:trPr>
        <w:tc>
          <w:tcPr>
            <w:tcW w:w="319"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vAlign w:val="center"/>
          </w:tcPr>
          <w:p w14:paraId="754B68E5"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序号</w:t>
            </w:r>
          </w:p>
        </w:tc>
        <w:tc>
          <w:tcPr>
            <w:tcW w:w="486" w:type="pct"/>
            <w:vMerge w:val="restart"/>
            <w:tcBorders>
              <w:top w:val="single" w:sz="4" w:space="0" w:color="auto"/>
              <w:left w:val="nil"/>
              <w:right w:val="single" w:sz="4" w:space="0" w:color="auto"/>
            </w:tcBorders>
            <w:shd w:val="clear" w:color="auto" w:fill="auto"/>
            <w:tcMar>
              <w:top w:w="15" w:type="dxa"/>
              <w:left w:w="15" w:type="dxa"/>
              <w:bottom w:w="0" w:type="dxa"/>
              <w:right w:w="15" w:type="dxa"/>
            </w:tcMar>
            <w:vAlign w:val="center"/>
          </w:tcPr>
          <w:p w14:paraId="69040862"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行业</w:t>
            </w:r>
          </w:p>
          <w:p w14:paraId="5AC286B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类别</w:t>
            </w:r>
          </w:p>
        </w:tc>
        <w:tc>
          <w:tcPr>
            <w:tcW w:w="2327" w:type="pct"/>
            <w:gridSpan w:val="5"/>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3B728FE"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2021-2025</w:t>
            </w:r>
            <w:r>
              <w:rPr>
                <w:rFonts w:ascii="Times New Roman" w:eastAsia="宋体" w:hAnsi="Times New Roman" w:cs="Times New Roman"/>
                <w:sz w:val="20"/>
                <w:szCs w:val="20"/>
              </w:rPr>
              <w:t>年物流量预测</w:t>
            </w:r>
          </w:p>
        </w:tc>
        <w:tc>
          <w:tcPr>
            <w:tcW w:w="1036" w:type="pct"/>
            <w:vMerge w:val="restart"/>
            <w:tcBorders>
              <w:top w:val="single" w:sz="4" w:space="0" w:color="auto"/>
              <w:left w:val="nil"/>
              <w:right w:val="single" w:sz="4" w:space="0" w:color="auto"/>
            </w:tcBorders>
            <w:shd w:val="clear" w:color="auto" w:fill="auto"/>
            <w:tcMar>
              <w:top w:w="15" w:type="dxa"/>
              <w:left w:w="15" w:type="dxa"/>
              <w:bottom w:w="0" w:type="dxa"/>
              <w:right w:w="15" w:type="dxa"/>
            </w:tcMar>
            <w:vAlign w:val="center"/>
          </w:tcPr>
          <w:p w14:paraId="54AC848B"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仓储现状</w:t>
            </w:r>
          </w:p>
        </w:tc>
        <w:tc>
          <w:tcPr>
            <w:tcW w:w="831" w:type="pct"/>
            <w:vMerge w:val="restart"/>
            <w:tcBorders>
              <w:top w:val="single" w:sz="4" w:space="0" w:color="auto"/>
              <w:left w:val="nil"/>
              <w:right w:val="single" w:sz="4" w:space="0" w:color="auto"/>
            </w:tcBorders>
            <w:shd w:val="clear" w:color="auto" w:fill="auto"/>
            <w:tcMar>
              <w:top w:w="15" w:type="dxa"/>
              <w:left w:w="15" w:type="dxa"/>
              <w:bottom w:w="0" w:type="dxa"/>
              <w:right w:w="15" w:type="dxa"/>
            </w:tcMar>
            <w:vAlign w:val="center"/>
          </w:tcPr>
          <w:p w14:paraId="7965B477"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仓储需求预测</w:t>
            </w:r>
          </w:p>
        </w:tc>
      </w:tr>
      <w:tr w:rsidR="00CC512B" w14:paraId="21ED9996" w14:textId="77777777">
        <w:trPr>
          <w:trHeight w:val="542"/>
        </w:trPr>
        <w:tc>
          <w:tcPr>
            <w:tcW w:w="319" w:type="pct"/>
            <w:vMerge/>
            <w:tcBorders>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A3499F0" w14:textId="77777777" w:rsidR="00CC512B" w:rsidRDefault="00CC512B">
            <w:pPr>
              <w:spacing w:line="320" w:lineRule="exact"/>
              <w:jc w:val="center"/>
              <w:rPr>
                <w:rFonts w:ascii="Times New Roman" w:eastAsia="宋体" w:hAnsi="Times New Roman" w:cs="Times New Roman"/>
                <w:sz w:val="20"/>
                <w:szCs w:val="20"/>
              </w:rPr>
            </w:pPr>
          </w:p>
        </w:tc>
        <w:tc>
          <w:tcPr>
            <w:tcW w:w="486" w:type="pct"/>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F02685A" w14:textId="77777777" w:rsidR="00CC512B" w:rsidRDefault="00CC512B">
            <w:pPr>
              <w:spacing w:line="320" w:lineRule="exact"/>
              <w:jc w:val="center"/>
              <w:rPr>
                <w:rFonts w:ascii="Times New Roman" w:eastAsia="宋体" w:hAnsi="Times New Roman" w:cs="Times New Roman"/>
                <w:sz w:val="20"/>
                <w:szCs w:val="20"/>
              </w:rPr>
            </w:pPr>
          </w:p>
        </w:tc>
        <w:tc>
          <w:tcPr>
            <w:tcW w:w="46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A6A0834"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2021</w:t>
            </w:r>
            <w:r>
              <w:rPr>
                <w:rFonts w:ascii="Times New Roman" w:eastAsia="宋体" w:hAnsi="Times New Roman" w:cs="Times New Roman"/>
                <w:sz w:val="20"/>
                <w:szCs w:val="20"/>
              </w:rPr>
              <w:t>年</w:t>
            </w:r>
          </w:p>
        </w:tc>
        <w:tc>
          <w:tcPr>
            <w:tcW w:w="46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0C9A5F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2022</w:t>
            </w:r>
            <w:r>
              <w:rPr>
                <w:rFonts w:ascii="Times New Roman" w:eastAsia="宋体" w:hAnsi="Times New Roman" w:cs="Times New Roman"/>
                <w:sz w:val="20"/>
                <w:szCs w:val="20"/>
              </w:rPr>
              <w:t>年</w:t>
            </w:r>
          </w:p>
        </w:tc>
        <w:tc>
          <w:tcPr>
            <w:tcW w:w="46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2F16806"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2023</w:t>
            </w:r>
            <w:r>
              <w:rPr>
                <w:rFonts w:ascii="Times New Roman" w:eastAsia="宋体" w:hAnsi="Times New Roman" w:cs="Times New Roman"/>
                <w:sz w:val="20"/>
                <w:szCs w:val="20"/>
              </w:rPr>
              <w:t>年</w:t>
            </w:r>
          </w:p>
        </w:tc>
        <w:tc>
          <w:tcPr>
            <w:tcW w:w="461"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2307FDB"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2024</w:t>
            </w:r>
            <w:r>
              <w:rPr>
                <w:rFonts w:ascii="Times New Roman" w:eastAsia="宋体" w:hAnsi="Times New Roman" w:cs="Times New Roman"/>
                <w:sz w:val="20"/>
                <w:szCs w:val="20"/>
              </w:rPr>
              <w:t>年</w:t>
            </w:r>
          </w:p>
        </w:tc>
        <w:tc>
          <w:tcPr>
            <w:tcW w:w="484" w:type="pct"/>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9A5B30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2025</w:t>
            </w:r>
            <w:r>
              <w:rPr>
                <w:rFonts w:ascii="Times New Roman" w:eastAsia="宋体" w:hAnsi="Times New Roman" w:cs="Times New Roman"/>
                <w:sz w:val="20"/>
                <w:szCs w:val="20"/>
              </w:rPr>
              <w:t>年</w:t>
            </w:r>
          </w:p>
        </w:tc>
        <w:tc>
          <w:tcPr>
            <w:tcW w:w="1036" w:type="pct"/>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4D2BFEF" w14:textId="77777777" w:rsidR="00CC512B" w:rsidRDefault="00CC512B">
            <w:pPr>
              <w:spacing w:line="320" w:lineRule="exact"/>
              <w:jc w:val="center"/>
              <w:rPr>
                <w:rFonts w:ascii="Times New Roman" w:eastAsia="宋体" w:hAnsi="Times New Roman" w:cs="Times New Roman"/>
                <w:sz w:val="20"/>
                <w:szCs w:val="20"/>
              </w:rPr>
            </w:pPr>
          </w:p>
        </w:tc>
        <w:tc>
          <w:tcPr>
            <w:tcW w:w="831" w:type="pct"/>
            <w:vMerge/>
            <w:tcBorders>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419EEDD" w14:textId="77777777" w:rsidR="00CC512B" w:rsidRDefault="00CC512B">
            <w:pPr>
              <w:spacing w:line="320" w:lineRule="exact"/>
              <w:jc w:val="center"/>
              <w:rPr>
                <w:rFonts w:ascii="Times New Roman" w:eastAsia="宋体" w:hAnsi="Times New Roman" w:cs="Times New Roman"/>
                <w:sz w:val="20"/>
                <w:szCs w:val="20"/>
              </w:rPr>
            </w:pPr>
          </w:p>
        </w:tc>
      </w:tr>
      <w:tr w:rsidR="00CC512B" w14:paraId="18EB2E60" w14:textId="77777777">
        <w:trPr>
          <w:trHeight w:val="600"/>
        </w:trPr>
        <w:tc>
          <w:tcPr>
            <w:tcW w:w="319"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329C85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1</w:t>
            </w:r>
          </w:p>
        </w:tc>
        <w:tc>
          <w:tcPr>
            <w:tcW w:w="4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4F86C74"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动力</w:t>
            </w:r>
          </w:p>
          <w:p w14:paraId="296581B9"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电池</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62E590B"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6.12</w:t>
            </w:r>
          </w:p>
          <w:p w14:paraId="2B1AD5B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F8665D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6.73</w:t>
            </w:r>
          </w:p>
          <w:p w14:paraId="21FE9D96"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FF05637"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8.08</w:t>
            </w:r>
          </w:p>
          <w:p w14:paraId="022843D7"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DBF49FF"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10.50</w:t>
            </w:r>
          </w:p>
          <w:p w14:paraId="0E86B301"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48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08DDF0A"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14.70</w:t>
            </w:r>
          </w:p>
          <w:p w14:paraId="3DB26CE2"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103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107E350" w14:textId="77777777" w:rsidR="00CC512B" w:rsidRDefault="00000000">
            <w:pPr>
              <w:spacing w:line="320" w:lineRule="exact"/>
              <w:jc w:val="center"/>
              <w:rPr>
                <w:rFonts w:ascii="Times New Roman" w:eastAsia="宋体" w:hAnsi="Times New Roman" w:cs="Times New Roman"/>
                <w:sz w:val="20"/>
                <w:szCs w:val="20"/>
              </w:rPr>
            </w:pPr>
            <w:proofErr w:type="gramStart"/>
            <w:r>
              <w:rPr>
                <w:rFonts w:ascii="Times New Roman" w:eastAsia="宋体" w:hAnsi="Times New Roman" w:cs="Times New Roman"/>
                <w:sz w:val="20"/>
                <w:szCs w:val="20"/>
              </w:rPr>
              <w:t>租赁欣联物流</w:t>
            </w:r>
            <w:proofErr w:type="gramEnd"/>
            <w:r>
              <w:rPr>
                <w:rFonts w:ascii="Times New Roman" w:eastAsia="宋体" w:hAnsi="Times New Roman" w:cs="Times New Roman"/>
                <w:sz w:val="20"/>
                <w:szCs w:val="20"/>
              </w:rPr>
              <w:t>、</w:t>
            </w:r>
            <w:proofErr w:type="gramStart"/>
            <w:r>
              <w:rPr>
                <w:rFonts w:ascii="Times New Roman" w:eastAsia="宋体" w:hAnsi="Times New Roman" w:cs="Times New Roman"/>
                <w:sz w:val="20"/>
                <w:szCs w:val="20"/>
              </w:rPr>
              <w:t>宜宾港</w:t>
            </w:r>
            <w:proofErr w:type="gramEnd"/>
            <w:r>
              <w:rPr>
                <w:rFonts w:ascii="Times New Roman" w:eastAsia="宋体" w:hAnsi="Times New Roman" w:cs="Times New Roman"/>
                <w:sz w:val="20"/>
                <w:szCs w:val="20"/>
              </w:rPr>
              <w:t>等公司厂房，约</w:t>
            </w:r>
            <w:r>
              <w:rPr>
                <w:rFonts w:ascii="Times New Roman" w:eastAsia="宋体" w:hAnsi="Times New Roman" w:cs="Times New Roman"/>
                <w:sz w:val="20"/>
                <w:szCs w:val="20"/>
              </w:rPr>
              <w:t>3.6</w:t>
            </w:r>
            <w:r>
              <w:rPr>
                <w:rFonts w:ascii="Times New Roman" w:eastAsia="宋体" w:hAnsi="Times New Roman" w:cs="Times New Roman"/>
                <w:sz w:val="20"/>
                <w:szCs w:val="20"/>
              </w:rPr>
              <w:t>万平方米</w:t>
            </w:r>
          </w:p>
        </w:tc>
        <w:tc>
          <w:tcPr>
            <w:tcW w:w="8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6A812EF"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2-3</w:t>
            </w:r>
            <w:r>
              <w:rPr>
                <w:rFonts w:ascii="Times New Roman" w:eastAsia="宋体" w:hAnsi="Times New Roman" w:cs="Times New Roman"/>
                <w:sz w:val="20"/>
                <w:szCs w:val="20"/>
              </w:rPr>
              <w:t>万平方米</w:t>
            </w:r>
          </w:p>
        </w:tc>
      </w:tr>
      <w:tr w:rsidR="00CC512B" w14:paraId="700FC82E" w14:textId="77777777">
        <w:trPr>
          <w:trHeight w:val="600"/>
        </w:trPr>
        <w:tc>
          <w:tcPr>
            <w:tcW w:w="319"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15EC5C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w:t>
            </w:r>
          </w:p>
        </w:tc>
        <w:tc>
          <w:tcPr>
            <w:tcW w:w="4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BD6E5AE"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高端装备制造</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E36401A"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5.00</w:t>
            </w:r>
          </w:p>
          <w:p w14:paraId="02461FA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7392D65"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6.25</w:t>
            </w:r>
          </w:p>
          <w:p w14:paraId="478F72D4"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5351883"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8.13</w:t>
            </w:r>
          </w:p>
          <w:p w14:paraId="40FA5034"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DE3A2F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10.97</w:t>
            </w:r>
          </w:p>
          <w:p w14:paraId="00EFFA43"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8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1607A9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15.36</w:t>
            </w:r>
          </w:p>
          <w:p w14:paraId="3D4C9B33"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103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EEAC16A"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订单式生产，短暂储存，自有仓库</w:t>
            </w:r>
          </w:p>
        </w:tc>
        <w:tc>
          <w:tcPr>
            <w:tcW w:w="8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F0AE569"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暂无</w:t>
            </w:r>
          </w:p>
        </w:tc>
      </w:tr>
      <w:tr w:rsidR="00CC512B" w14:paraId="4D4AA65B" w14:textId="77777777">
        <w:trPr>
          <w:trHeight w:val="600"/>
        </w:trPr>
        <w:tc>
          <w:tcPr>
            <w:tcW w:w="319"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87F8127"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3</w:t>
            </w:r>
          </w:p>
        </w:tc>
        <w:tc>
          <w:tcPr>
            <w:tcW w:w="4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E8A7322"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新材料</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06FC182"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210.00</w:t>
            </w:r>
          </w:p>
          <w:p w14:paraId="3A5F701E"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A5D0B35"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315.00</w:t>
            </w:r>
          </w:p>
          <w:p w14:paraId="5E83E810"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56A98B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504.00</w:t>
            </w:r>
          </w:p>
          <w:p w14:paraId="657245DA"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BEEA910"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856.80</w:t>
            </w:r>
          </w:p>
          <w:p w14:paraId="3DD8C81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8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0810F2B"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1542.24</w:t>
            </w:r>
          </w:p>
          <w:p w14:paraId="322FC54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103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DB01AC5"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自有仓库</w:t>
            </w:r>
          </w:p>
        </w:tc>
        <w:tc>
          <w:tcPr>
            <w:tcW w:w="8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7FFD993"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暂无</w:t>
            </w:r>
          </w:p>
        </w:tc>
      </w:tr>
      <w:tr w:rsidR="00CC512B" w14:paraId="742CC2BD" w14:textId="77777777">
        <w:trPr>
          <w:trHeight w:val="600"/>
        </w:trPr>
        <w:tc>
          <w:tcPr>
            <w:tcW w:w="319"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3DCD59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4</w:t>
            </w:r>
          </w:p>
        </w:tc>
        <w:tc>
          <w:tcPr>
            <w:tcW w:w="4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9FBB8B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生命</w:t>
            </w:r>
          </w:p>
          <w:p w14:paraId="18EACFD4"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健康</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333AF1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1.76</w:t>
            </w:r>
          </w:p>
          <w:p w14:paraId="70D0CC3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5381390"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1.94</w:t>
            </w:r>
          </w:p>
          <w:p w14:paraId="235325C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7DDDC93"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2.13</w:t>
            </w:r>
          </w:p>
          <w:p w14:paraId="2563C899"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0135D3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2.34</w:t>
            </w:r>
          </w:p>
          <w:p w14:paraId="01EBD356"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8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F17413E"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2.58</w:t>
            </w:r>
          </w:p>
          <w:p w14:paraId="4A2EB51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103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CE62B9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自有仓库</w:t>
            </w:r>
          </w:p>
        </w:tc>
        <w:tc>
          <w:tcPr>
            <w:tcW w:w="8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5241455"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4000-5000</w:t>
            </w:r>
            <w:r>
              <w:rPr>
                <w:rFonts w:ascii="Times New Roman" w:eastAsia="宋体" w:hAnsi="Times New Roman" w:cs="Times New Roman"/>
                <w:sz w:val="20"/>
                <w:szCs w:val="20"/>
              </w:rPr>
              <w:t>平方米</w:t>
            </w:r>
          </w:p>
        </w:tc>
      </w:tr>
      <w:tr w:rsidR="00CC512B" w14:paraId="27B81037" w14:textId="77777777">
        <w:trPr>
          <w:trHeight w:val="600"/>
        </w:trPr>
        <w:tc>
          <w:tcPr>
            <w:tcW w:w="319"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437BFE6"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5</w:t>
            </w:r>
          </w:p>
        </w:tc>
        <w:tc>
          <w:tcPr>
            <w:tcW w:w="4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9C9C27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智能</w:t>
            </w:r>
          </w:p>
          <w:p w14:paraId="6C36C01F"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终端</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B75647E"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2.0</w:t>
            </w:r>
          </w:p>
          <w:p w14:paraId="319CF9B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E25717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2.2</w:t>
            </w:r>
          </w:p>
          <w:p w14:paraId="2D7EF012"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9CCB68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2.53</w:t>
            </w:r>
          </w:p>
          <w:p w14:paraId="3D8370FF"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692CE8F"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3.04</w:t>
            </w:r>
          </w:p>
          <w:p w14:paraId="790B41A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48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FE38242"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3.80</w:t>
            </w:r>
          </w:p>
          <w:p w14:paraId="1608F3E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万车次</w:t>
            </w:r>
          </w:p>
        </w:tc>
        <w:tc>
          <w:tcPr>
            <w:tcW w:w="103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0826552"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自有原材料、成品仓库及异地中转仓库</w:t>
            </w:r>
          </w:p>
        </w:tc>
        <w:tc>
          <w:tcPr>
            <w:tcW w:w="8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575EAA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暂无</w:t>
            </w:r>
          </w:p>
        </w:tc>
      </w:tr>
      <w:tr w:rsidR="00CC512B" w14:paraId="586313C1" w14:textId="77777777">
        <w:trPr>
          <w:trHeight w:val="600"/>
        </w:trPr>
        <w:tc>
          <w:tcPr>
            <w:tcW w:w="319"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B52D802"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6</w:t>
            </w:r>
          </w:p>
        </w:tc>
        <w:tc>
          <w:tcPr>
            <w:tcW w:w="48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435B040"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大宗</w:t>
            </w:r>
          </w:p>
          <w:p w14:paraId="6AB753D3"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物资</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617B7E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166.00</w:t>
            </w:r>
          </w:p>
          <w:p w14:paraId="26F78C49"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1CDA52A"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220.00</w:t>
            </w:r>
          </w:p>
          <w:p w14:paraId="4945EB2A"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A5B78DD"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231.00</w:t>
            </w:r>
          </w:p>
          <w:p w14:paraId="42386F2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6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A0D2634"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254.10</w:t>
            </w:r>
          </w:p>
          <w:p w14:paraId="357F561C"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484"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1173301"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292.22</w:t>
            </w:r>
          </w:p>
          <w:p w14:paraId="220CAE78"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万吨</w:t>
            </w:r>
          </w:p>
        </w:tc>
        <w:tc>
          <w:tcPr>
            <w:tcW w:w="1036"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B8DE3DF"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自有仓库</w:t>
            </w:r>
          </w:p>
        </w:tc>
        <w:tc>
          <w:tcPr>
            <w:tcW w:w="831" w:type="pct"/>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D6BB747" w14:textId="77777777" w:rsidR="00CC512B" w:rsidRDefault="00000000">
            <w:pPr>
              <w:spacing w:line="320" w:lineRule="exact"/>
              <w:jc w:val="center"/>
              <w:rPr>
                <w:rFonts w:ascii="Times New Roman" w:eastAsia="宋体" w:hAnsi="Times New Roman" w:cs="Times New Roman"/>
                <w:sz w:val="20"/>
                <w:szCs w:val="20"/>
              </w:rPr>
            </w:pPr>
            <w:r>
              <w:rPr>
                <w:rFonts w:ascii="Times New Roman" w:eastAsia="宋体" w:hAnsi="Times New Roman" w:cs="Times New Roman"/>
                <w:sz w:val="20"/>
                <w:szCs w:val="20"/>
              </w:rPr>
              <w:t>暂无</w:t>
            </w:r>
          </w:p>
        </w:tc>
      </w:tr>
    </w:tbl>
    <w:p w14:paraId="6BF9C1C8" w14:textId="77777777" w:rsidR="00CC512B" w:rsidRDefault="00CC512B">
      <w:pPr>
        <w:spacing w:line="360" w:lineRule="auto"/>
        <w:ind w:firstLine="480"/>
        <w:rPr>
          <w:rFonts w:ascii="Times New Roman" w:eastAsia="宋体" w:hAnsi="Times New Roman" w:cs="Times New Roman"/>
          <w:sz w:val="24"/>
          <w:szCs w:val="24"/>
          <w:lang w:eastAsia="zh-Hans"/>
        </w:rPr>
      </w:pPr>
    </w:p>
    <w:p w14:paraId="678BFA5C"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宜宾市要做大做强产业集群，实施产业集群提能升级计划，推动产业链</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供应链</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创新链</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价值链相互作用</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融合发展</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迈向中高端，需要物流与产业发展深度融合，支撑产业转型升级。以物流枢纽为核心，促进原材料、零部件、中间品、最终产品在生产企业间无缝衔接，</w:t>
      </w:r>
      <w:r>
        <w:rPr>
          <w:rFonts w:ascii="Times New Roman" w:eastAsia="宋体" w:hAnsi="Times New Roman" w:cs="Times New Roman"/>
          <w:sz w:val="24"/>
          <w:szCs w:val="24"/>
        </w:rPr>
        <w:t>串联生产、流通、消费等交易组织流转各环节，深度融合新模式新业态，实现规模化资源要素高效流转</w:t>
      </w:r>
      <w:r>
        <w:rPr>
          <w:rFonts w:ascii="Times New Roman" w:eastAsia="宋体" w:hAnsi="Times New Roman" w:cs="Times New Roman"/>
          <w:sz w:val="24"/>
          <w:szCs w:val="24"/>
          <w:lang w:eastAsia="zh-Hans"/>
        </w:rPr>
        <w:t>，提升产业集群资源配置能力和市场竞争力。</w:t>
      </w:r>
    </w:p>
    <w:p w14:paraId="00107A0F"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lang w:eastAsia="zh-Hans"/>
        </w:rPr>
        <w:t>（</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lang w:eastAsia="zh-Hans"/>
        </w:rPr>
        <w:t>）宜宾市商贸服务业物流概况</w:t>
      </w:r>
    </w:p>
    <w:p w14:paraId="132754BD"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2022</w:t>
      </w:r>
      <w:r>
        <w:rPr>
          <w:rFonts w:ascii="Times New Roman" w:eastAsia="宋体" w:hAnsi="Times New Roman" w:cs="Times New Roman"/>
          <w:sz w:val="24"/>
          <w:szCs w:val="24"/>
          <w:lang w:eastAsia="zh-Hans"/>
        </w:rPr>
        <w:t>年</w:t>
      </w:r>
      <w:r>
        <w:rPr>
          <w:rFonts w:ascii="Times New Roman" w:eastAsia="宋体" w:hAnsi="Times New Roman" w:cs="Times New Roman" w:hint="eastAsia"/>
          <w:sz w:val="24"/>
          <w:szCs w:val="24"/>
          <w:lang w:eastAsia="zh-Hans"/>
        </w:rPr>
        <w:t>，宜宾</w:t>
      </w:r>
      <w:r>
        <w:rPr>
          <w:rFonts w:ascii="Times New Roman" w:eastAsia="宋体" w:hAnsi="Times New Roman" w:cs="Times New Roman"/>
          <w:sz w:val="24"/>
          <w:szCs w:val="24"/>
          <w:lang w:eastAsia="zh-Hans"/>
        </w:rPr>
        <w:t>市社会消费品零售总额</w:t>
      </w:r>
      <w:r>
        <w:rPr>
          <w:rFonts w:ascii="Times New Roman" w:eastAsia="宋体" w:hAnsi="Times New Roman" w:cs="Times New Roman"/>
          <w:sz w:val="24"/>
          <w:szCs w:val="24"/>
          <w:lang w:eastAsia="zh-Hans"/>
        </w:rPr>
        <w:t>1210</w:t>
      </w:r>
      <w:r>
        <w:rPr>
          <w:rFonts w:ascii="Times New Roman" w:eastAsia="宋体" w:hAnsi="Times New Roman" w:cs="Times New Roman"/>
          <w:sz w:val="24"/>
          <w:szCs w:val="24"/>
          <w:lang w:eastAsia="zh-Hans"/>
        </w:rPr>
        <w:t>亿元，居全省第</w:t>
      </w:r>
      <w:r>
        <w:rPr>
          <w:rFonts w:ascii="Times New Roman" w:eastAsia="宋体" w:hAnsi="Times New Roman" w:cs="Times New Roman" w:hint="eastAsia"/>
          <w:sz w:val="24"/>
          <w:szCs w:val="24"/>
          <w:lang w:eastAsia="zh-Hans"/>
        </w:rPr>
        <w:t>五</w:t>
      </w:r>
      <w:r>
        <w:rPr>
          <w:rFonts w:ascii="Times New Roman" w:eastAsia="宋体" w:hAnsi="Times New Roman" w:cs="Times New Roman"/>
          <w:sz w:val="24"/>
          <w:szCs w:val="24"/>
          <w:lang w:eastAsia="zh-Hans"/>
        </w:rPr>
        <w:t>位、川南第一位。根据《宜宾市国民经济和社会发展第十四个五年规划和二〇三五年远景目标纲要》，全社会消费品零售总额年均增速保持在</w:t>
      </w:r>
      <w:r>
        <w:rPr>
          <w:rFonts w:ascii="Times New Roman" w:eastAsia="宋体" w:hAnsi="Times New Roman" w:cs="Times New Roman"/>
          <w:sz w:val="24"/>
          <w:szCs w:val="24"/>
          <w:lang w:eastAsia="zh-Hans"/>
        </w:rPr>
        <w:t>10%</w:t>
      </w:r>
      <w:r>
        <w:rPr>
          <w:rFonts w:ascii="Times New Roman" w:eastAsia="宋体" w:hAnsi="Times New Roman" w:cs="Times New Roman"/>
          <w:sz w:val="24"/>
          <w:szCs w:val="24"/>
          <w:lang w:eastAsia="zh-Hans"/>
        </w:rPr>
        <w:t>以上，</w:t>
      </w:r>
      <w:r>
        <w:rPr>
          <w:rFonts w:ascii="Times New Roman" w:eastAsia="宋体" w:hAnsi="Times New Roman" w:cs="Times New Roman"/>
          <w:sz w:val="24"/>
          <w:szCs w:val="24"/>
          <w:lang w:eastAsia="zh-Hans"/>
        </w:rPr>
        <w:t xml:space="preserve">2025 </w:t>
      </w:r>
      <w:r>
        <w:rPr>
          <w:rFonts w:ascii="Times New Roman" w:eastAsia="宋体" w:hAnsi="Times New Roman" w:cs="Times New Roman"/>
          <w:sz w:val="24"/>
          <w:szCs w:val="24"/>
          <w:lang w:eastAsia="zh-Hans"/>
        </w:rPr>
        <w:t>年建成</w:t>
      </w:r>
      <w:r>
        <w:rPr>
          <w:rFonts w:ascii="Times New Roman" w:eastAsia="宋体" w:hAnsi="Times New Roman" w:cs="Times New Roman" w:hint="eastAsia"/>
          <w:sz w:val="24"/>
          <w:szCs w:val="24"/>
          <w:lang w:eastAsia="zh-Hans"/>
        </w:rPr>
        <w:t>长江</w:t>
      </w:r>
      <w:r>
        <w:rPr>
          <w:rFonts w:ascii="Times New Roman" w:eastAsia="宋体" w:hAnsi="Times New Roman" w:cs="Times New Roman" w:hint="eastAsia"/>
          <w:sz w:val="24"/>
          <w:szCs w:val="24"/>
          <w:lang w:eastAsia="zh-Hans"/>
        </w:rPr>
        <w:lastRenderedPageBreak/>
        <w:t>上游（</w:t>
      </w:r>
      <w:r>
        <w:rPr>
          <w:rFonts w:ascii="Times New Roman" w:eastAsia="宋体" w:hAnsi="Times New Roman" w:cs="Times New Roman"/>
          <w:sz w:val="24"/>
          <w:szCs w:val="24"/>
          <w:lang w:eastAsia="zh-Hans"/>
        </w:rPr>
        <w:t>区域</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商贸物流中心。</w:t>
      </w:r>
    </w:p>
    <w:p w14:paraId="66EA8E7B"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lang w:eastAsia="zh-Hans"/>
        </w:rPr>
        <w:t>国家高度重视商贸物流的高质量发展，“十三五”期间专门编制了商贸物流发展规划，</w:t>
      </w:r>
      <w:r>
        <w:rPr>
          <w:rFonts w:ascii="Times New Roman" w:eastAsia="宋体" w:hAnsi="Times New Roman" w:cs="Times New Roman"/>
          <w:sz w:val="24"/>
          <w:szCs w:val="24"/>
          <w:lang w:eastAsia="zh-Hans"/>
        </w:rPr>
        <w:t>2021</w:t>
      </w:r>
      <w:r>
        <w:rPr>
          <w:rFonts w:ascii="Times New Roman" w:eastAsia="宋体" w:hAnsi="Times New Roman" w:cs="Times New Roman"/>
          <w:sz w:val="24"/>
          <w:szCs w:val="24"/>
          <w:lang w:eastAsia="zh-Hans"/>
        </w:rPr>
        <w:t>年</w:t>
      </w:r>
      <w:r>
        <w:rPr>
          <w:rFonts w:ascii="Times New Roman" w:eastAsia="宋体" w:hAnsi="Times New Roman" w:cs="Times New Roman"/>
          <w:sz w:val="24"/>
          <w:szCs w:val="24"/>
          <w:lang w:eastAsia="zh-Hans"/>
        </w:rPr>
        <w:t>8</w:t>
      </w:r>
      <w:r>
        <w:rPr>
          <w:rFonts w:ascii="Times New Roman" w:eastAsia="宋体" w:hAnsi="Times New Roman" w:cs="Times New Roman"/>
          <w:sz w:val="24"/>
          <w:szCs w:val="24"/>
          <w:lang w:eastAsia="zh-Hans"/>
        </w:rPr>
        <w:t>月</w:t>
      </w:r>
      <w:r>
        <w:rPr>
          <w:rFonts w:ascii="Times New Roman" w:eastAsia="宋体" w:hAnsi="Times New Roman" w:cs="Times New Roman"/>
          <w:sz w:val="24"/>
          <w:szCs w:val="24"/>
          <w:lang w:eastAsia="zh-Hans"/>
        </w:rPr>
        <w:t>6</w:t>
      </w:r>
      <w:r>
        <w:rPr>
          <w:rFonts w:ascii="Times New Roman" w:eastAsia="宋体" w:hAnsi="Times New Roman" w:cs="Times New Roman"/>
          <w:sz w:val="24"/>
          <w:szCs w:val="24"/>
          <w:lang w:eastAsia="zh-Hans"/>
        </w:rPr>
        <w:t>日，商务部等</w:t>
      </w:r>
      <w:r>
        <w:rPr>
          <w:rFonts w:ascii="Times New Roman" w:eastAsia="宋体" w:hAnsi="Times New Roman" w:cs="Times New Roman"/>
          <w:sz w:val="24"/>
          <w:szCs w:val="24"/>
          <w:lang w:eastAsia="zh-Hans"/>
        </w:rPr>
        <w:t>9</w:t>
      </w:r>
      <w:r>
        <w:rPr>
          <w:rFonts w:ascii="Times New Roman" w:eastAsia="宋体" w:hAnsi="Times New Roman" w:cs="Times New Roman"/>
          <w:sz w:val="24"/>
          <w:szCs w:val="24"/>
          <w:lang w:eastAsia="zh-Hans"/>
        </w:rPr>
        <w:t>部门关于印发《商贸物流高质量发展专项行动计划（</w:t>
      </w:r>
      <w:r>
        <w:rPr>
          <w:rFonts w:ascii="Times New Roman" w:eastAsia="宋体" w:hAnsi="Times New Roman" w:cs="Times New Roman"/>
          <w:sz w:val="24"/>
          <w:szCs w:val="24"/>
          <w:lang w:eastAsia="zh-Hans"/>
        </w:rPr>
        <w:t>2021-2025</w:t>
      </w:r>
      <w:r>
        <w:rPr>
          <w:rFonts w:ascii="Times New Roman" w:eastAsia="宋体" w:hAnsi="Times New Roman" w:cs="Times New Roman"/>
          <w:sz w:val="24"/>
          <w:szCs w:val="24"/>
          <w:lang w:eastAsia="zh-Hans"/>
        </w:rPr>
        <w:t>年）》的通知，进一步对发展商贸物流提出新的更高的要求，指出要深化供给侧结构性改革，注重需求侧管理，加快提升商贸物流网络化、协同化、标准化、数字化、智能化、绿色化和全球化水平。</w:t>
      </w:r>
    </w:p>
    <w:p w14:paraId="4F68F88A"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lang w:eastAsia="zh-Hans"/>
        </w:rPr>
        <w:t>《宜宾市城市总体规划（</w:t>
      </w:r>
      <w:r>
        <w:rPr>
          <w:rFonts w:ascii="Times New Roman" w:eastAsia="宋体" w:hAnsi="Times New Roman" w:cs="Times New Roman"/>
          <w:sz w:val="24"/>
          <w:szCs w:val="24"/>
          <w:lang w:eastAsia="zh-Hans"/>
        </w:rPr>
        <w:t>2013-2030</w:t>
      </w:r>
      <w:r>
        <w:rPr>
          <w:rFonts w:ascii="Times New Roman" w:eastAsia="宋体" w:hAnsi="Times New Roman" w:cs="Times New Roman"/>
          <w:sz w:val="24"/>
          <w:szCs w:val="24"/>
          <w:lang w:eastAsia="zh-Hans"/>
        </w:rPr>
        <w:t>）》中提出，产业转型以发展高品质服务业为方向，围绕</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三个中心、六大基地</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大力提升现代服务业水平，着重提升商贸物流业服务能力，完善以现代物流配送中心为节点、服务商贸服务业和居民消费为目标的城市配送体系，推进农村日用消费品和农资配送中心建设。建设轻工业品、小商品批发市场，建立工业制成品、农产品、生产资料等大宗商品水陆联运网络。</w:t>
      </w:r>
    </w:p>
    <w:p w14:paraId="0913B76E"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lang w:eastAsia="zh-Hans"/>
        </w:rPr>
        <w:t>《四川省“十四五”邮政业发展规划（</w:t>
      </w:r>
      <w:r>
        <w:rPr>
          <w:rFonts w:ascii="Times New Roman" w:eastAsia="宋体" w:hAnsi="Times New Roman" w:cs="Times New Roman"/>
          <w:sz w:val="24"/>
          <w:szCs w:val="24"/>
          <w:lang w:eastAsia="zh-Hans"/>
        </w:rPr>
        <w:t>2021—2025</w:t>
      </w:r>
      <w:r>
        <w:rPr>
          <w:rFonts w:ascii="Times New Roman" w:eastAsia="宋体" w:hAnsi="Times New Roman" w:cs="Times New Roman"/>
          <w:sz w:val="24"/>
          <w:szCs w:val="24"/>
          <w:lang w:eastAsia="zh-Hans"/>
        </w:rPr>
        <w:t>年）》明确，要着力构建</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一核、九辅、多点</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的总体发展格局，形成结构优化、互联互通、衔接高效、覆盖全省、连接全国和通达世界的邮政快递开放立体网络</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优化</w:t>
      </w:r>
      <w:r>
        <w:rPr>
          <w:rFonts w:ascii="Times New Roman" w:eastAsia="宋体" w:hAnsi="Times New Roman" w:cs="Times New Roman"/>
          <w:b/>
          <w:sz w:val="24"/>
          <w:szCs w:val="24"/>
          <w:lang w:eastAsia="zh-Hans"/>
        </w:rPr>
        <w:t>成都</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极核</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，积极培育</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九辅</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。其中</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九辅</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是着力打造</w:t>
      </w:r>
      <w:r>
        <w:rPr>
          <w:rFonts w:ascii="Times New Roman" w:eastAsia="宋体" w:hAnsi="Times New Roman" w:cs="Times New Roman"/>
          <w:b/>
          <w:sz w:val="24"/>
          <w:szCs w:val="24"/>
          <w:lang w:eastAsia="zh-Hans"/>
        </w:rPr>
        <w:t>南充、绵阳、宜宾、广元（巴中）</w:t>
      </w:r>
      <w:r>
        <w:rPr>
          <w:rFonts w:ascii="Times New Roman" w:eastAsia="宋体" w:hAnsi="Times New Roman" w:cs="Times New Roman"/>
          <w:sz w:val="24"/>
          <w:szCs w:val="24"/>
          <w:lang w:eastAsia="zh-Hans"/>
        </w:rPr>
        <w:t>等</w:t>
      </w:r>
      <w:r>
        <w:rPr>
          <w:rFonts w:ascii="Times New Roman" w:eastAsia="宋体" w:hAnsi="Times New Roman" w:cs="Times New Roman"/>
          <w:sz w:val="24"/>
          <w:szCs w:val="24"/>
          <w:lang w:eastAsia="zh-Hans"/>
        </w:rPr>
        <w:t>4</w:t>
      </w:r>
      <w:r>
        <w:rPr>
          <w:rFonts w:ascii="Times New Roman" w:eastAsia="宋体" w:hAnsi="Times New Roman" w:cs="Times New Roman"/>
          <w:sz w:val="24"/>
          <w:szCs w:val="24"/>
          <w:lang w:eastAsia="zh-Hans"/>
        </w:rPr>
        <w:t>个省级节点城市，加快建设快递专业类物流园区（快递仓配、分拨中心）。培育</w:t>
      </w:r>
      <w:r>
        <w:rPr>
          <w:rFonts w:ascii="Times New Roman" w:eastAsia="宋体" w:hAnsi="Times New Roman" w:cs="Times New Roman"/>
          <w:b/>
          <w:sz w:val="24"/>
          <w:szCs w:val="24"/>
          <w:lang w:eastAsia="zh-Hans"/>
        </w:rPr>
        <w:t>泸州、遂宁、攀枝花、达州</w:t>
      </w:r>
      <w:r>
        <w:rPr>
          <w:rFonts w:ascii="Times New Roman" w:eastAsia="宋体" w:hAnsi="Times New Roman" w:cs="Times New Roman"/>
          <w:sz w:val="24"/>
          <w:szCs w:val="24"/>
          <w:lang w:eastAsia="zh-Hans"/>
        </w:rPr>
        <w:t>等枢纽，重点支持物流园区、转运设施和快件分拨中心建设。发挥自贡高铁通道优势，加快建设专业物流园区，完善提升自贡快递物流园区分</w:t>
      </w:r>
      <w:r>
        <w:rPr>
          <w:rFonts w:ascii="Times New Roman" w:eastAsia="宋体" w:hAnsi="Times New Roman" w:cs="Times New Roman" w:hint="eastAsia"/>
          <w:sz w:val="24"/>
          <w:szCs w:val="24"/>
          <w:lang w:eastAsia="zh-Hans"/>
        </w:rPr>
        <w:t>拨功能，</w:t>
      </w:r>
      <w:r>
        <w:rPr>
          <w:rFonts w:ascii="Times New Roman" w:eastAsia="宋体" w:hAnsi="Times New Roman" w:cs="Times New Roman"/>
          <w:sz w:val="24"/>
          <w:szCs w:val="24"/>
          <w:lang w:eastAsia="zh-Hans"/>
        </w:rPr>
        <w:t>打造连接川南渝西重要枢纽。</w:t>
      </w:r>
    </w:p>
    <w:p w14:paraId="54709CA6" w14:textId="77777777" w:rsidR="00CC512B" w:rsidRDefault="00000000">
      <w:pPr>
        <w:pStyle w:val="3"/>
        <w:rPr>
          <w:rFonts w:ascii="Times New Roman" w:hAnsi="Times New Roman" w:cs="Times New Roman"/>
        </w:rPr>
      </w:pPr>
      <w:bookmarkStart w:id="8" w:name="_Toc144363201"/>
      <w:r>
        <w:rPr>
          <w:rFonts w:ascii="Times New Roman" w:hAnsi="Times New Roman" w:cs="Times New Roman"/>
        </w:rPr>
        <w:t>1.2.2</w:t>
      </w:r>
      <w:r>
        <w:rPr>
          <w:rFonts w:ascii="Times New Roman" w:hAnsi="Times New Roman" w:cs="Times New Roman"/>
        </w:rPr>
        <w:t>问题</w:t>
      </w:r>
      <w:bookmarkEnd w:id="8"/>
    </w:p>
    <w:p w14:paraId="7F367427" w14:textId="77777777" w:rsidR="00CC512B" w:rsidRDefault="00000000">
      <w:pPr>
        <w:spacing w:line="360" w:lineRule="auto"/>
        <w:ind w:firstLine="480"/>
        <w:rPr>
          <w:rFonts w:ascii="Times New Roman" w:eastAsia="宋体" w:hAnsi="Times New Roman" w:cs="Times New Roman"/>
          <w:b/>
          <w:bCs/>
          <w:sz w:val="24"/>
          <w:szCs w:val="24"/>
        </w:rPr>
      </w:pPr>
      <w:r>
        <w:rPr>
          <w:rFonts w:ascii="Times New Roman" w:eastAsia="宋体" w:hAnsi="Times New Roman" w:cs="Times New Roman"/>
          <w:b/>
          <w:bCs/>
          <w:sz w:val="24"/>
          <w:szCs w:val="24"/>
        </w:rPr>
        <w:t>（</w:t>
      </w:r>
      <w:r>
        <w:rPr>
          <w:rFonts w:ascii="Times New Roman" w:eastAsia="宋体" w:hAnsi="Times New Roman" w:cs="Times New Roman"/>
          <w:b/>
          <w:bCs/>
          <w:sz w:val="24"/>
          <w:szCs w:val="24"/>
        </w:rPr>
        <w:t>1</w:t>
      </w:r>
      <w:r>
        <w:rPr>
          <w:rFonts w:ascii="Times New Roman" w:eastAsia="宋体" w:hAnsi="Times New Roman" w:cs="Times New Roman"/>
          <w:b/>
          <w:bCs/>
          <w:sz w:val="24"/>
          <w:szCs w:val="24"/>
        </w:rPr>
        <w:t>）</w:t>
      </w:r>
      <w:r>
        <w:rPr>
          <w:rFonts w:ascii="Times New Roman" w:eastAsia="宋体" w:hAnsi="Times New Roman" w:cs="Times New Roman" w:hint="eastAsia"/>
          <w:b/>
          <w:bCs/>
          <w:sz w:val="24"/>
          <w:szCs w:val="24"/>
        </w:rPr>
        <w:t>宜宾市制造业原材料与产成品的仓储与运输问题</w:t>
      </w:r>
    </w:p>
    <w:p w14:paraId="6712F2ED"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除了代表性的白酒产业，</w:t>
      </w:r>
      <w:r>
        <w:rPr>
          <w:rFonts w:ascii="Times New Roman" w:eastAsia="宋体" w:hAnsi="Times New Roman" w:cs="Times New Roman"/>
          <w:sz w:val="24"/>
          <w:szCs w:val="24"/>
        </w:rPr>
        <w:t>动力电池</w:t>
      </w:r>
      <w:r>
        <w:rPr>
          <w:rFonts w:ascii="Times New Roman" w:eastAsia="宋体" w:hAnsi="Times New Roman" w:cs="Times New Roman" w:hint="eastAsia"/>
          <w:sz w:val="24"/>
          <w:szCs w:val="24"/>
        </w:rPr>
        <w:t>、智能终端、高端装备、新材料以及生命健康产业是</w:t>
      </w:r>
      <w:r>
        <w:rPr>
          <w:rFonts w:ascii="Times New Roman" w:eastAsia="宋体" w:hAnsi="Times New Roman" w:cs="Times New Roman"/>
          <w:sz w:val="24"/>
          <w:szCs w:val="24"/>
        </w:rPr>
        <w:t>宜宾市先进制造业的主要</w:t>
      </w:r>
      <w:r>
        <w:rPr>
          <w:rFonts w:ascii="Times New Roman" w:eastAsia="宋体" w:hAnsi="Times New Roman" w:cs="Times New Roman" w:hint="eastAsia"/>
          <w:sz w:val="24"/>
          <w:szCs w:val="24"/>
        </w:rPr>
        <w:t>代表</w:t>
      </w:r>
      <w:r>
        <w:rPr>
          <w:rFonts w:ascii="Times New Roman" w:eastAsia="宋体" w:hAnsi="Times New Roman" w:cs="Times New Roman"/>
          <w:sz w:val="24"/>
          <w:szCs w:val="24"/>
        </w:rPr>
        <w:t>。</w:t>
      </w:r>
      <w:r>
        <w:rPr>
          <w:rFonts w:ascii="Times New Roman" w:eastAsia="宋体" w:hAnsi="Times New Roman" w:cs="Times New Roman" w:hint="eastAsia"/>
          <w:sz w:val="24"/>
          <w:szCs w:val="24"/>
        </w:rPr>
        <w:t>这些产业从采购物流到销售物流环节，均存在一定物流问题，限制了企业的提质降本增效。</w:t>
      </w:r>
    </w:p>
    <w:p w14:paraId="5CFE6A8D"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一是</w:t>
      </w:r>
      <w:r>
        <w:rPr>
          <w:rFonts w:ascii="Times New Roman" w:eastAsia="宋体" w:hAnsi="Times New Roman" w:cs="Times New Roman" w:hint="eastAsia"/>
          <w:b/>
          <w:bCs/>
          <w:sz w:val="24"/>
          <w:szCs w:val="24"/>
        </w:rPr>
        <w:t>仓储问题</w:t>
      </w:r>
      <w:r>
        <w:rPr>
          <w:rFonts w:ascii="Times New Roman" w:eastAsia="宋体" w:hAnsi="Times New Roman" w:cs="Times New Roman" w:hint="eastAsia"/>
          <w:sz w:val="24"/>
          <w:szCs w:val="24"/>
        </w:rPr>
        <w:t>。由于用地的限制和部分物品的特殊性，如动力电池产品，</w:t>
      </w:r>
      <w:r>
        <w:rPr>
          <w:rFonts w:ascii="Times New Roman" w:eastAsia="宋体" w:hAnsi="Times New Roman" w:cs="Times New Roman"/>
          <w:sz w:val="24"/>
          <w:szCs w:val="24"/>
        </w:rPr>
        <w:t>对仓库要求特殊，需远离居民住宅区、产业集中区，且存储单元不能超过</w:t>
      </w:r>
      <w:r>
        <w:rPr>
          <w:rFonts w:ascii="Times New Roman" w:eastAsia="宋体" w:hAnsi="Times New Roman" w:cs="Times New Roman"/>
          <w:sz w:val="24"/>
          <w:szCs w:val="24"/>
        </w:rPr>
        <w:t>75m²</w:t>
      </w:r>
      <w:r>
        <w:rPr>
          <w:rFonts w:ascii="Times New Roman" w:eastAsia="宋体" w:hAnsi="Times New Roman" w:cs="Times New Roman"/>
          <w:sz w:val="24"/>
          <w:szCs w:val="24"/>
        </w:rPr>
        <w:t>、存储单元间距需大于</w:t>
      </w:r>
      <w:r>
        <w:rPr>
          <w:rFonts w:ascii="Times New Roman" w:eastAsia="宋体" w:hAnsi="Times New Roman" w:cs="Times New Roman"/>
          <w:sz w:val="24"/>
          <w:szCs w:val="24"/>
        </w:rPr>
        <w:t>2.5m</w:t>
      </w:r>
      <w:r>
        <w:rPr>
          <w:rFonts w:ascii="Times New Roman" w:eastAsia="宋体" w:hAnsi="Times New Roman" w:cs="Times New Roman"/>
          <w:sz w:val="24"/>
          <w:szCs w:val="24"/>
        </w:rPr>
        <w:t>、堆垛高度不能超过</w:t>
      </w:r>
      <w:r>
        <w:rPr>
          <w:rFonts w:ascii="Times New Roman" w:eastAsia="宋体" w:hAnsi="Times New Roman" w:cs="Times New Roman"/>
          <w:sz w:val="24"/>
          <w:szCs w:val="24"/>
        </w:rPr>
        <w:t>1.6m</w:t>
      </w:r>
      <w:r>
        <w:rPr>
          <w:rFonts w:ascii="Times New Roman" w:eastAsia="宋体" w:hAnsi="Times New Roman" w:cs="Times New Roman"/>
          <w:sz w:val="24"/>
          <w:szCs w:val="24"/>
        </w:rPr>
        <w:t>等，导致</w:t>
      </w:r>
      <w:proofErr w:type="gramStart"/>
      <w:r>
        <w:rPr>
          <w:rFonts w:ascii="Times New Roman" w:eastAsia="宋体" w:hAnsi="Times New Roman" w:cs="Times New Roman"/>
          <w:sz w:val="24"/>
          <w:szCs w:val="24"/>
        </w:rPr>
        <w:t>危化品</w:t>
      </w:r>
      <w:proofErr w:type="gramEnd"/>
      <w:r>
        <w:rPr>
          <w:rFonts w:ascii="Times New Roman" w:eastAsia="宋体" w:hAnsi="Times New Roman" w:cs="Times New Roman"/>
          <w:sz w:val="24"/>
          <w:szCs w:val="24"/>
        </w:rPr>
        <w:t>仓库严重缺</w:t>
      </w:r>
      <w:r>
        <w:rPr>
          <w:rFonts w:ascii="Times New Roman" w:eastAsia="宋体" w:hAnsi="Times New Roman" w:cs="Times New Roman"/>
          <w:sz w:val="24"/>
          <w:szCs w:val="24"/>
        </w:rPr>
        <w:lastRenderedPageBreak/>
        <w:t>乏。</w:t>
      </w:r>
      <w:r>
        <w:rPr>
          <w:rFonts w:ascii="Times New Roman" w:eastAsia="宋体" w:hAnsi="Times New Roman" w:cs="Times New Roman" w:hint="eastAsia"/>
          <w:sz w:val="24"/>
          <w:szCs w:val="24"/>
        </w:rPr>
        <w:t>考虑货物特性、动力电池产业的布局和产品</w:t>
      </w:r>
      <w:r>
        <w:rPr>
          <w:rFonts w:ascii="Times New Roman" w:eastAsia="宋体" w:hAnsi="Times New Roman" w:cs="Times New Roman"/>
          <w:sz w:val="24"/>
          <w:szCs w:val="24"/>
        </w:rPr>
        <w:t>外运模式</w:t>
      </w:r>
      <w:r>
        <w:rPr>
          <w:rFonts w:ascii="Times New Roman" w:eastAsia="宋体" w:hAnsi="Times New Roman" w:cs="Times New Roman" w:hint="eastAsia"/>
          <w:sz w:val="24"/>
          <w:szCs w:val="24"/>
        </w:rPr>
        <w:t>（公路占比</w:t>
      </w:r>
      <w:r>
        <w:rPr>
          <w:rFonts w:ascii="Times New Roman" w:eastAsia="宋体" w:hAnsi="Times New Roman" w:cs="Times New Roman" w:hint="eastAsia"/>
          <w:sz w:val="24"/>
          <w:szCs w:val="24"/>
        </w:rPr>
        <w:t>9</w:t>
      </w:r>
      <w:r>
        <w:rPr>
          <w:rFonts w:ascii="Times New Roman" w:eastAsia="宋体" w:hAnsi="Times New Roman" w:cs="Times New Roman"/>
          <w:sz w:val="24"/>
          <w:szCs w:val="24"/>
        </w:rPr>
        <w:t>9</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，公转水仅</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，主要去向为华东地区）</w:t>
      </w:r>
      <w:r>
        <w:rPr>
          <w:rFonts w:ascii="Times New Roman" w:eastAsia="宋体" w:hAnsi="Times New Roman" w:cs="Times New Roman"/>
          <w:sz w:val="24"/>
          <w:szCs w:val="24"/>
        </w:rPr>
        <w:t>，</w:t>
      </w:r>
      <w:r>
        <w:rPr>
          <w:rFonts w:ascii="Times New Roman" w:eastAsia="宋体" w:hAnsi="Times New Roman" w:cs="Times New Roman" w:hint="eastAsia"/>
          <w:sz w:val="24"/>
          <w:szCs w:val="24"/>
        </w:rPr>
        <w:t>如何</w:t>
      </w:r>
      <w:r>
        <w:rPr>
          <w:rFonts w:ascii="Times New Roman" w:eastAsia="宋体" w:hAnsi="Times New Roman" w:cs="Times New Roman"/>
          <w:sz w:val="24"/>
          <w:szCs w:val="24"/>
        </w:rPr>
        <w:t>在宜宾市为其</w:t>
      </w:r>
      <w:r>
        <w:rPr>
          <w:rFonts w:ascii="Times New Roman" w:eastAsia="宋体" w:hAnsi="Times New Roman" w:cs="Times New Roman" w:hint="eastAsia"/>
          <w:sz w:val="24"/>
          <w:szCs w:val="24"/>
        </w:rPr>
        <w:t>规划</w:t>
      </w:r>
      <w:r>
        <w:rPr>
          <w:rFonts w:ascii="Times New Roman" w:eastAsia="宋体" w:hAnsi="Times New Roman" w:cs="Times New Roman"/>
          <w:sz w:val="24"/>
          <w:szCs w:val="24"/>
        </w:rPr>
        <w:t>合适的仓库？</w:t>
      </w:r>
    </w:p>
    <w:p w14:paraId="274A981D"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二是</w:t>
      </w:r>
      <w:r>
        <w:rPr>
          <w:rFonts w:ascii="Times New Roman" w:eastAsia="宋体" w:hAnsi="Times New Roman" w:cs="Times New Roman" w:hint="eastAsia"/>
          <w:b/>
          <w:bCs/>
          <w:sz w:val="24"/>
          <w:szCs w:val="24"/>
        </w:rPr>
        <w:t>物流运输问题</w:t>
      </w:r>
      <w:r>
        <w:rPr>
          <w:rFonts w:ascii="Times New Roman" w:eastAsia="宋体" w:hAnsi="Times New Roman" w:cs="Times New Roman" w:hint="eastAsia"/>
          <w:sz w:val="24"/>
          <w:szCs w:val="24"/>
        </w:rPr>
        <w:t>。据统计，宜宾市制造业产品主要流向华东地区、珠三角地区，或是通过公路运输到沿海港口报关出海。</w:t>
      </w:r>
    </w:p>
    <w:p w14:paraId="73BA51CB"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对于国内的物流需求，现有的物流方式主要采取第三方物流，但普遍存在</w:t>
      </w:r>
      <w:r>
        <w:rPr>
          <w:rFonts w:ascii="Times New Roman" w:eastAsia="宋体" w:hAnsi="Times New Roman" w:cs="Times New Roman"/>
          <w:sz w:val="24"/>
          <w:szCs w:val="24"/>
        </w:rPr>
        <w:t>运费偏高、物流时效长，时效性较</w:t>
      </w:r>
      <w:r>
        <w:rPr>
          <w:rFonts w:ascii="Times New Roman" w:eastAsia="宋体" w:hAnsi="Times New Roman" w:cs="Times New Roman" w:hint="eastAsia"/>
          <w:sz w:val="24"/>
          <w:szCs w:val="24"/>
        </w:rPr>
        <w:t>差的问题。另外，</w:t>
      </w:r>
      <w:r>
        <w:rPr>
          <w:rFonts w:ascii="Times New Roman" w:eastAsia="宋体" w:hAnsi="Times New Roman" w:cs="Times New Roman"/>
          <w:sz w:val="24"/>
          <w:szCs w:val="24"/>
        </w:rPr>
        <w:t>到非</w:t>
      </w:r>
      <w:r>
        <w:rPr>
          <w:rFonts w:ascii="Times New Roman" w:eastAsia="宋体" w:hAnsi="Times New Roman" w:cs="Times New Roman" w:hint="eastAsia"/>
          <w:sz w:val="24"/>
          <w:szCs w:val="24"/>
        </w:rPr>
        <w:t>长三角、</w:t>
      </w:r>
      <w:r>
        <w:rPr>
          <w:rFonts w:ascii="Times New Roman" w:eastAsia="宋体" w:hAnsi="Times New Roman" w:cs="Times New Roman"/>
          <w:sz w:val="24"/>
          <w:szCs w:val="24"/>
        </w:rPr>
        <w:t>珠三角地区的</w:t>
      </w:r>
      <w:proofErr w:type="gramStart"/>
      <w:r>
        <w:rPr>
          <w:rFonts w:ascii="Times New Roman" w:eastAsia="宋体" w:hAnsi="Times New Roman" w:cs="Times New Roman"/>
          <w:sz w:val="24"/>
          <w:szCs w:val="24"/>
        </w:rPr>
        <w:t>物流商</w:t>
      </w:r>
      <w:proofErr w:type="gramEnd"/>
      <w:r>
        <w:rPr>
          <w:rFonts w:ascii="Times New Roman" w:eastAsia="宋体" w:hAnsi="Times New Roman" w:cs="Times New Roman"/>
          <w:sz w:val="24"/>
          <w:szCs w:val="24"/>
        </w:rPr>
        <w:t>可选择性较小，运输直达普线少，基本都需要到周边去中转，运输成本较高。</w:t>
      </w:r>
      <w:r>
        <w:rPr>
          <w:rFonts w:ascii="Times New Roman" w:eastAsia="宋体" w:hAnsi="Times New Roman" w:cs="Times New Roman" w:hint="eastAsia"/>
          <w:sz w:val="24"/>
          <w:szCs w:val="24"/>
        </w:rPr>
        <w:t>要如何整合区域物流资源、创新物流服务模式，畅通产品出宜通道，降低物流成本呢？</w:t>
      </w:r>
    </w:p>
    <w:p w14:paraId="4DE0E0F7"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对于需要出口的产品，主要去往东南亚、中东、欧洲，但从宜宾出发</w:t>
      </w:r>
      <w:proofErr w:type="gramStart"/>
      <w:r>
        <w:rPr>
          <w:rFonts w:ascii="Times New Roman" w:eastAsia="宋体" w:hAnsi="Times New Roman" w:cs="Times New Roman" w:hint="eastAsia"/>
          <w:sz w:val="24"/>
          <w:szCs w:val="24"/>
        </w:rPr>
        <w:t>江运周期</w:t>
      </w:r>
      <w:proofErr w:type="gramEnd"/>
      <w:r>
        <w:rPr>
          <w:rFonts w:ascii="Times New Roman" w:eastAsia="宋体" w:hAnsi="Times New Roman" w:cs="Times New Roman" w:hint="eastAsia"/>
          <w:sz w:val="24"/>
          <w:szCs w:val="24"/>
        </w:rPr>
        <w:t>较长，不具备时效优势。</w:t>
      </w:r>
      <w:r>
        <w:rPr>
          <w:rFonts w:ascii="Times New Roman" w:eastAsia="宋体" w:hAnsi="Times New Roman" w:cs="Times New Roman"/>
          <w:sz w:val="24"/>
          <w:szCs w:val="24"/>
        </w:rPr>
        <w:t>如何通过西部陆海新通道到东南亚、中东，或者通过中欧班列陆路到达中东、欧洲，</w:t>
      </w:r>
      <w:r>
        <w:rPr>
          <w:rFonts w:ascii="Times New Roman" w:eastAsia="宋体" w:hAnsi="Times New Roman" w:cs="Times New Roman" w:hint="eastAsia"/>
          <w:sz w:val="24"/>
          <w:szCs w:val="24"/>
        </w:rPr>
        <w:t>以提高物流时效、</w:t>
      </w:r>
      <w:r>
        <w:rPr>
          <w:rFonts w:ascii="Times New Roman" w:eastAsia="宋体" w:hAnsi="Times New Roman" w:cs="Times New Roman"/>
          <w:sz w:val="24"/>
          <w:szCs w:val="24"/>
        </w:rPr>
        <w:t>降低运输</w:t>
      </w:r>
      <w:r>
        <w:rPr>
          <w:rFonts w:ascii="Times New Roman" w:eastAsia="宋体" w:hAnsi="Times New Roman" w:cs="Times New Roman" w:hint="eastAsia"/>
          <w:sz w:val="24"/>
          <w:szCs w:val="24"/>
        </w:rPr>
        <w:t>成本</w:t>
      </w:r>
      <w:r>
        <w:rPr>
          <w:rFonts w:ascii="Times New Roman" w:eastAsia="宋体" w:hAnsi="Times New Roman" w:cs="Times New Roman"/>
          <w:sz w:val="24"/>
          <w:szCs w:val="24"/>
        </w:rPr>
        <w:t>？</w:t>
      </w:r>
      <w:r>
        <w:rPr>
          <w:rFonts w:ascii="Times New Roman" w:eastAsia="宋体" w:hAnsi="Times New Roman" w:cs="Times New Roman" w:hint="eastAsia"/>
          <w:sz w:val="24"/>
          <w:szCs w:val="24"/>
        </w:rPr>
        <w:t xml:space="preserve"> </w:t>
      </w:r>
    </w:p>
    <w:p w14:paraId="47234643" w14:textId="77777777" w:rsidR="00CC512B" w:rsidRDefault="00000000">
      <w:pPr>
        <w:spacing w:line="360" w:lineRule="auto"/>
        <w:ind w:firstLine="480"/>
        <w:rPr>
          <w:rFonts w:ascii="Times New Roman" w:eastAsia="宋体" w:hAnsi="Times New Roman" w:cs="Times New Roman"/>
          <w:b/>
          <w:bCs/>
          <w:sz w:val="24"/>
          <w:szCs w:val="24"/>
        </w:rPr>
      </w:pPr>
      <w:r>
        <w:rPr>
          <w:rFonts w:ascii="Times New Roman" w:eastAsia="宋体" w:hAnsi="Times New Roman" w:cs="Times New Roman" w:hint="eastAsia"/>
          <w:b/>
          <w:bCs/>
          <w:sz w:val="24"/>
          <w:szCs w:val="24"/>
        </w:rPr>
        <w:t>（</w:t>
      </w:r>
      <w:r>
        <w:rPr>
          <w:rFonts w:ascii="Times New Roman" w:eastAsia="宋体" w:hAnsi="Times New Roman" w:cs="Times New Roman" w:hint="eastAsia"/>
          <w:b/>
          <w:bCs/>
          <w:sz w:val="24"/>
          <w:szCs w:val="24"/>
        </w:rPr>
        <w:t>2</w:t>
      </w:r>
      <w:r>
        <w:rPr>
          <w:rFonts w:ascii="Times New Roman" w:eastAsia="宋体" w:hAnsi="Times New Roman" w:cs="Times New Roman" w:hint="eastAsia"/>
          <w:b/>
          <w:bCs/>
          <w:sz w:val="24"/>
          <w:szCs w:val="24"/>
        </w:rPr>
        <w:t>）宜宾市商贸物流中心建设的必要性和可行性问题</w:t>
      </w:r>
    </w:p>
    <w:p w14:paraId="2F4B4CB6"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电商快递物流和冷链物流是商贸业发展的重要支撑，但宜宾市在这两个方面的发展较为滞后。</w:t>
      </w:r>
    </w:p>
    <w:p w14:paraId="76CAA9D2" w14:textId="186E134F"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lang w:eastAsia="zh-Hans"/>
        </w:rPr>
        <w:t>一是试分析</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川滇黔渝</w:t>
      </w:r>
      <w:r>
        <w:rPr>
          <w:rFonts w:ascii="Times New Roman" w:eastAsia="宋体" w:hAnsi="Times New Roman" w:cs="Times New Roman"/>
          <w:sz w:val="24"/>
          <w:szCs w:val="24"/>
          <w:lang w:eastAsia="zh-Hans"/>
        </w:rPr>
        <w:t>”</w:t>
      </w:r>
      <w:r>
        <w:rPr>
          <w:rFonts w:ascii="Times New Roman" w:eastAsia="宋体" w:hAnsi="Times New Roman" w:cs="Times New Roman" w:hint="eastAsia"/>
          <w:sz w:val="24"/>
          <w:szCs w:val="24"/>
          <w:lang w:eastAsia="zh-Hans"/>
        </w:rPr>
        <w:t>地区各类快递物流中心布局情况和快递物流需求情况，结合</w:t>
      </w:r>
      <w:r>
        <w:rPr>
          <w:rFonts w:ascii="Times New Roman" w:eastAsia="宋体" w:hAnsi="Times New Roman" w:cs="Times New Roman"/>
          <w:sz w:val="24"/>
          <w:szCs w:val="24"/>
          <w:lang w:eastAsia="zh-Hans"/>
        </w:rPr>
        <w:t>《四川省</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十四五</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邮政业发展规划（</w:t>
      </w:r>
      <w:r>
        <w:rPr>
          <w:rFonts w:ascii="Times New Roman" w:eastAsia="宋体" w:hAnsi="Times New Roman" w:cs="Times New Roman"/>
          <w:sz w:val="24"/>
          <w:szCs w:val="24"/>
          <w:lang w:eastAsia="zh-Hans"/>
        </w:rPr>
        <w:t>2021—2025</w:t>
      </w:r>
      <w:r>
        <w:rPr>
          <w:rFonts w:ascii="Times New Roman" w:eastAsia="宋体" w:hAnsi="Times New Roman" w:cs="Times New Roman"/>
          <w:sz w:val="24"/>
          <w:szCs w:val="24"/>
          <w:lang w:eastAsia="zh-Hans"/>
        </w:rPr>
        <w:t>年）》，</w:t>
      </w:r>
      <w:r>
        <w:rPr>
          <w:rFonts w:ascii="Times New Roman" w:eastAsia="宋体" w:hAnsi="Times New Roman" w:cs="Times New Roman" w:hint="eastAsia"/>
          <w:sz w:val="24"/>
          <w:szCs w:val="24"/>
          <w:lang w:eastAsia="zh-Hans"/>
        </w:rPr>
        <w:t>探索</w:t>
      </w:r>
      <w:r>
        <w:rPr>
          <w:rFonts w:ascii="Times New Roman" w:eastAsia="宋体" w:hAnsi="Times New Roman" w:cs="Times New Roman"/>
          <w:sz w:val="24"/>
          <w:szCs w:val="24"/>
          <w:lang w:eastAsia="zh-Hans"/>
        </w:rPr>
        <w:t>宜宾</w:t>
      </w:r>
      <w:r>
        <w:rPr>
          <w:rFonts w:ascii="Times New Roman" w:eastAsia="宋体" w:hAnsi="Times New Roman" w:cs="Times New Roman" w:hint="eastAsia"/>
          <w:sz w:val="24"/>
          <w:szCs w:val="24"/>
          <w:lang w:eastAsia="zh-Hans"/>
        </w:rPr>
        <w:t>是否能够</w:t>
      </w:r>
      <w:r>
        <w:rPr>
          <w:rFonts w:ascii="Times New Roman" w:eastAsia="宋体" w:hAnsi="Times New Roman" w:cs="Times New Roman"/>
          <w:sz w:val="24"/>
          <w:szCs w:val="24"/>
          <w:lang w:eastAsia="zh-Hans"/>
        </w:rPr>
        <w:t>发挥交通区位优势</w:t>
      </w:r>
      <w:r>
        <w:rPr>
          <w:rFonts w:ascii="Times New Roman" w:eastAsia="宋体" w:hAnsi="Times New Roman" w:cs="Times New Roman" w:hint="eastAsia"/>
          <w:sz w:val="24"/>
          <w:szCs w:val="24"/>
          <w:lang w:eastAsia="zh-Hans"/>
        </w:rPr>
        <w:t>进行快递网络体系布局？若可行，要如何布局和设计快递物流网络，才能</w:t>
      </w:r>
      <w:r>
        <w:rPr>
          <w:rFonts w:ascii="Times New Roman" w:eastAsia="宋体" w:hAnsi="Times New Roman" w:cs="Times New Roman"/>
          <w:sz w:val="24"/>
          <w:szCs w:val="24"/>
          <w:lang w:eastAsia="zh-Hans"/>
        </w:rPr>
        <w:t>更好地服务</w:t>
      </w:r>
      <w:r>
        <w:rPr>
          <w:rFonts w:ascii="Times New Roman" w:eastAsia="宋体" w:hAnsi="Times New Roman" w:cs="Times New Roman" w:hint="eastAsia"/>
          <w:sz w:val="24"/>
          <w:szCs w:val="24"/>
          <w:lang w:eastAsia="zh-Hans"/>
        </w:rPr>
        <w:t>当地</w:t>
      </w:r>
      <w:r>
        <w:rPr>
          <w:rFonts w:ascii="Times New Roman" w:eastAsia="宋体" w:hAnsi="Times New Roman" w:cs="Times New Roman"/>
          <w:sz w:val="24"/>
          <w:szCs w:val="24"/>
          <w:lang w:eastAsia="zh-Hans"/>
        </w:rPr>
        <w:t>特色</w:t>
      </w:r>
      <w:r>
        <w:rPr>
          <w:rFonts w:ascii="Times New Roman" w:eastAsia="宋体" w:hAnsi="Times New Roman" w:cs="Times New Roman" w:hint="eastAsia"/>
          <w:sz w:val="24"/>
          <w:szCs w:val="24"/>
          <w:lang w:eastAsia="zh-Hans"/>
        </w:rPr>
        <w:t>农</w:t>
      </w:r>
      <w:r>
        <w:rPr>
          <w:rFonts w:ascii="Times New Roman" w:eastAsia="宋体" w:hAnsi="Times New Roman" w:cs="Times New Roman"/>
          <w:sz w:val="24"/>
          <w:szCs w:val="24"/>
          <w:lang w:eastAsia="zh-Hans"/>
        </w:rPr>
        <w:t>产品、优质酒业的发展，形成沿江增长极</w:t>
      </w:r>
      <w:r>
        <w:rPr>
          <w:rFonts w:ascii="Times New Roman" w:eastAsia="宋体" w:hAnsi="Times New Roman" w:cs="Times New Roman" w:hint="eastAsia"/>
          <w:sz w:val="24"/>
          <w:szCs w:val="24"/>
          <w:lang w:eastAsia="zh-Hans"/>
        </w:rPr>
        <w:t>？</w:t>
      </w:r>
    </w:p>
    <w:p w14:paraId="57E1D6F9"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二是宜宾作为南向通道的重要节点，暂未被纳入</w:t>
      </w:r>
      <w:r>
        <w:rPr>
          <w:rFonts w:ascii="Times New Roman" w:eastAsia="宋体" w:hAnsi="Times New Roman" w:cs="Times New Roman"/>
          <w:sz w:val="24"/>
          <w:szCs w:val="24"/>
        </w:rPr>
        <w:t>国家骨干冷链物流基地</w:t>
      </w:r>
      <w:r>
        <w:rPr>
          <w:rFonts w:ascii="Times New Roman" w:eastAsia="宋体" w:hAnsi="Times New Roman" w:cs="Times New Roman" w:hint="eastAsia"/>
          <w:sz w:val="24"/>
          <w:szCs w:val="24"/>
        </w:rPr>
        <w:t>。但作为拓展农业、商贸业发展方向，提高居民生活水平的重要一环，发展冷链物流是一个城市物流系统的重要组成部分。试分析</w:t>
      </w:r>
      <w:r>
        <w:rPr>
          <w:rFonts w:ascii="Times New Roman" w:eastAsia="宋体" w:hAnsi="Times New Roman" w:cs="Times New Roman" w:hint="eastAsia"/>
          <w:sz w:val="24"/>
          <w:szCs w:val="24"/>
          <w:lang w:eastAsia="zh-Hans"/>
        </w:rPr>
        <w:t>川南地区以及宜宾市冷链物流</w:t>
      </w:r>
      <w:r>
        <w:rPr>
          <w:rFonts w:ascii="Times New Roman" w:eastAsia="宋体" w:hAnsi="Times New Roman" w:cs="Times New Roman" w:hint="eastAsia"/>
          <w:sz w:val="24"/>
          <w:szCs w:val="24"/>
        </w:rPr>
        <w:t>发展现状及物流需求，探索宜宾是否局部布局冷链设施、建设冷链物流的可能性，要如何进行建设？</w:t>
      </w:r>
    </w:p>
    <w:p w14:paraId="0E00E7B3" w14:textId="77777777" w:rsidR="00CC512B" w:rsidRDefault="00000000">
      <w:pPr>
        <w:widowControl/>
        <w:jc w:val="left"/>
        <w:rPr>
          <w:rFonts w:ascii="Times New Roman" w:eastAsia="黑体" w:hAnsi="Times New Roman" w:cs="Times New Roman"/>
          <w:b/>
          <w:sz w:val="36"/>
        </w:rPr>
      </w:pPr>
      <w:r>
        <w:rPr>
          <w:rFonts w:ascii="Times New Roman" w:eastAsia="黑体" w:hAnsi="Times New Roman" w:cs="Times New Roman"/>
          <w:b/>
          <w:sz w:val="36"/>
        </w:rPr>
        <w:br w:type="page"/>
      </w:r>
    </w:p>
    <w:p w14:paraId="53C57E51" w14:textId="77777777" w:rsidR="00CC512B" w:rsidRDefault="00000000">
      <w:pPr>
        <w:pStyle w:val="1"/>
        <w:rPr>
          <w:rFonts w:ascii="Times New Roman" w:hAnsi="Times New Roman" w:cs="Times New Roman"/>
        </w:rPr>
      </w:pPr>
      <w:bookmarkStart w:id="9" w:name="_Toc144363202"/>
      <w:bookmarkEnd w:id="1"/>
      <w:r>
        <w:rPr>
          <w:rFonts w:ascii="Times New Roman" w:hAnsi="Times New Roman" w:cs="Times New Roman"/>
        </w:rPr>
        <w:lastRenderedPageBreak/>
        <w:t>案例</w:t>
      </w:r>
      <w:r>
        <w:rPr>
          <w:rFonts w:ascii="Times New Roman" w:hAnsi="Times New Roman" w:cs="Times New Roman"/>
        </w:rPr>
        <w:t xml:space="preserve">2  </w:t>
      </w:r>
      <w:proofErr w:type="gramStart"/>
      <w:r>
        <w:rPr>
          <w:rFonts w:ascii="Times New Roman" w:hAnsi="Times New Roman" w:cs="Times New Roman" w:hint="eastAsia"/>
        </w:rPr>
        <w:t>宜宾港</w:t>
      </w:r>
      <w:proofErr w:type="gramEnd"/>
      <w:r>
        <w:rPr>
          <w:rFonts w:ascii="Times New Roman" w:hAnsi="Times New Roman" w:cs="Times New Roman" w:hint="eastAsia"/>
        </w:rPr>
        <w:t>高质量发展之路</w:t>
      </w:r>
      <w:bookmarkEnd w:id="9"/>
    </w:p>
    <w:p w14:paraId="5A8BBD6B" w14:textId="77777777" w:rsidR="00CC512B" w:rsidRDefault="00000000">
      <w:pPr>
        <w:pStyle w:val="a0"/>
        <w:ind w:firstLine="480"/>
      </w:pPr>
      <w:proofErr w:type="gramStart"/>
      <w:r>
        <w:rPr>
          <w:rFonts w:hint="eastAsia"/>
        </w:rPr>
        <w:t>宜宾港</w:t>
      </w:r>
      <w:proofErr w:type="gramEnd"/>
      <w:r>
        <w:rPr>
          <w:rFonts w:hint="eastAsia"/>
        </w:rPr>
        <w:t>将充分发挥</w:t>
      </w:r>
      <w:proofErr w:type="gramStart"/>
      <w:r>
        <w:rPr>
          <w:rFonts w:hint="eastAsia"/>
        </w:rPr>
        <w:t>宜宾港</w:t>
      </w:r>
      <w:proofErr w:type="gramEnd"/>
      <w:r>
        <w:rPr>
          <w:rFonts w:hint="eastAsia"/>
        </w:rPr>
        <w:t>长江上游干支中转作用，完善物流、商贸、对外加工贸易、金融、通关、信息、航运等综合物流服务能力，加快建设长江上游（四川）航运中心，打造</w:t>
      </w:r>
      <w:r>
        <w:rPr>
          <w:rFonts w:hint="eastAsia"/>
          <w:b/>
        </w:rPr>
        <w:t>川滇</w:t>
      </w:r>
      <w:proofErr w:type="gramStart"/>
      <w:r>
        <w:rPr>
          <w:rFonts w:hint="eastAsia"/>
          <w:b/>
        </w:rPr>
        <w:t>黔结合</w:t>
      </w:r>
      <w:proofErr w:type="gramEnd"/>
      <w:r>
        <w:rPr>
          <w:rFonts w:hint="eastAsia"/>
          <w:b/>
        </w:rPr>
        <w:t>部最大的区域综合物流服务商</w:t>
      </w:r>
      <w:r>
        <w:rPr>
          <w:rFonts w:hint="eastAsia"/>
        </w:rPr>
        <w:t>。</w:t>
      </w:r>
    </w:p>
    <w:p w14:paraId="3DEEA376" w14:textId="77777777" w:rsidR="00CC512B" w:rsidRDefault="00000000">
      <w:pPr>
        <w:pStyle w:val="2"/>
        <w:rPr>
          <w:rFonts w:ascii="Times New Roman" w:hAnsi="Times New Roman" w:cs="Times New Roman"/>
        </w:rPr>
      </w:pPr>
      <w:bookmarkStart w:id="10" w:name="_Toc144363203"/>
      <w:r>
        <w:rPr>
          <w:rFonts w:ascii="Times New Roman" w:hAnsi="Times New Roman" w:cs="Times New Roman"/>
        </w:rPr>
        <w:t>2.1</w:t>
      </w:r>
      <w:r>
        <w:rPr>
          <w:rFonts w:hint="eastAsia"/>
        </w:rPr>
        <w:t>数智宜宾港建设及货源拓展问题</w:t>
      </w:r>
      <w:bookmarkEnd w:id="10"/>
    </w:p>
    <w:p w14:paraId="0701CDCC" w14:textId="77777777" w:rsidR="00CC512B" w:rsidRDefault="00000000">
      <w:pPr>
        <w:pStyle w:val="3"/>
        <w:rPr>
          <w:rFonts w:ascii="Times New Roman" w:hAnsi="Times New Roman" w:cs="Times New Roman"/>
          <w:szCs w:val="24"/>
        </w:rPr>
      </w:pPr>
      <w:bookmarkStart w:id="11" w:name="_Toc144363204"/>
      <w:r>
        <w:rPr>
          <w:rFonts w:ascii="Times New Roman" w:hAnsi="Times New Roman" w:cs="Times New Roman"/>
        </w:rPr>
        <w:t xml:space="preserve">2.1.1 </w:t>
      </w:r>
      <w:r>
        <w:rPr>
          <w:rFonts w:ascii="Times New Roman" w:hAnsi="Times New Roman" w:cs="Times New Roman"/>
        </w:rPr>
        <w:t>背景</w:t>
      </w:r>
      <w:bookmarkEnd w:id="11"/>
    </w:p>
    <w:p w14:paraId="6B40BC1C"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宜宾港是国家规划的长江经济带十大重要发展的港口之一，是</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一带一路</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和长江经济带发展战略交汇点上的重要枢纽港口，是交通运输部《关于推进长江航运高质量发展的意见》确定的长江干支中转港口，是国家成渝地区双城经济圈综合交通运输发展规划中明确的长江上游骨干港口，是四川构建西部综合交通枢纽的重要组成。</w:t>
      </w:r>
    </w:p>
    <w:p w14:paraId="2D7D766F"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宜宾港位于宜宾市合江门下游约</w:t>
      </w:r>
      <w:r>
        <w:rPr>
          <w:rFonts w:ascii="Times New Roman" w:eastAsia="宋体" w:hAnsi="Times New Roman" w:cs="Times New Roman"/>
          <w:sz w:val="24"/>
          <w:szCs w:val="24"/>
          <w:lang w:eastAsia="zh-Hans"/>
        </w:rPr>
        <w:t>14</w:t>
      </w:r>
      <w:r>
        <w:rPr>
          <w:rFonts w:ascii="Times New Roman" w:eastAsia="宋体" w:hAnsi="Times New Roman" w:cs="Times New Roman"/>
          <w:sz w:val="24"/>
          <w:szCs w:val="24"/>
          <w:lang w:eastAsia="zh-Hans"/>
        </w:rPr>
        <w:t>公里的长江左岸，规划了翠柏、南溪、江安、新市</w:t>
      </w:r>
      <w:r>
        <w:rPr>
          <w:rFonts w:ascii="Times New Roman" w:eastAsia="宋体" w:hAnsi="Times New Roman" w:cs="Times New Roman"/>
          <w:sz w:val="24"/>
          <w:szCs w:val="24"/>
          <w:lang w:eastAsia="zh-Hans"/>
        </w:rPr>
        <w:t>4</w:t>
      </w:r>
      <w:r>
        <w:rPr>
          <w:rFonts w:ascii="Times New Roman" w:eastAsia="宋体" w:hAnsi="Times New Roman" w:cs="Times New Roman"/>
          <w:sz w:val="24"/>
          <w:szCs w:val="24"/>
          <w:lang w:eastAsia="zh-Hans"/>
        </w:rPr>
        <w:t>个港区和</w:t>
      </w:r>
      <w:r>
        <w:rPr>
          <w:rFonts w:ascii="Times New Roman" w:eastAsia="宋体" w:hAnsi="Times New Roman" w:cs="Times New Roman"/>
          <w:sz w:val="24"/>
          <w:szCs w:val="24"/>
          <w:lang w:eastAsia="zh-Hans"/>
        </w:rPr>
        <w:t>11</w:t>
      </w:r>
      <w:r>
        <w:rPr>
          <w:rFonts w:ascii="Times New Roman" w:eastAsia="宋体" w:hAnsi="Times New Roman" w:cs="Times New Roman"/>
          <w:sz w:val="24"/>
          <w:szCs w:val="24"/>
          <w:lang w:eastAsia="zh-Hans"/>
        </w:rPr>
        <w:t>个作业区，宜宾港核心作业区</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志城作业区位于四川省首个省级新区</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宜宾三江新区内，可利用岸线长</w:t>
      </w:r>
      <w:r>
        <w:rPr>
          <w:rFonts w:ascii="Times New Roman" w:eastAsia="宋体" w:hAnsi="Times New Roman" w:cs="Times New Roman"/>
          <w:sz w:val="24"/>
          <w:szCs w:val="24"/>
          <w:lang w:eastAsia="zh-Hans"/>
        </w:rPr>
        <w:t>3500</w:t>
      </w:r>
      <w:r>
        <w:rPr>
          <w:rFonts w:ascii="Times New Roman" w:eastAsia="宋体" w:hAnsi="Times New Roman" w:cs="Times New Roman"/>
          <w:sz w:val="24"/>
          <w:szCs w:val="24"/>
          <w:lang w:eastAsia="zh-Hans"/>
        </w:rPr>
        <w:t>米，是湖北宜昌以上最好建港岸线，现已利用</w:t>
      </w:r>
      <w:r>
        <w:rPr>
          <w:rFonts w:ascii="Times New Roman" w:eastAsia="宋体" w:hAnsi="Times New Roman" w:cs="Times New Roman"/>
          <w:sz w:val="24"/>
          <w:szCs w:val="24"/>
          <w:lang w:eastAsia="zh-Hans"/>
        </w:rPr>
        <w:t>1602</w:t>
      </w:r>
      <w:r>
        <w:rPr>
          <w:rFonts w:ascii="Times New Roman" w:eastAsia="宋体" w:hAnsi="Times New Roman" w:cs="Times New Roman"/>
          <w:sz w:val="24"/>
          <w:szCs w:val="24"/>
          <w:lang w:eastAsia="zh-Hans"/>
        </w:rPr>
        <w:t>米。一期工程于</w:t>
      </w:r>
      <w:r>
        <w:rPr>
          <w:rFonts w:ascii="Times New Roman" w:eastAsia="宋体" w:hAnsi="Times New Roman" w:cs="Times New Roman"/>
          <w:sz w:val="24"/>
          <w:szCs w:val="24"/>
          <w:lang w:eastAsia="zh-Hans"/>
        </w:rPr>
        <w:t>2010</w:t>
      </w:r>
      <w:r>
        <w:rPr>
          <w:rFonts w:ascii="Times New Roman" w:eastAsia="宋体" w:hAnsi="Times New Roman" w:cs="Times New Roman"/>
          <w:sz w:val="24"/>
          <w:szCs w:val="24"/>
          <w:lang w:eastAsia="zh-Hans"/>
        </w:rPr>
        <w:t>年</w:t>
      </w:r>
      <w:r>
        <w:rPr>
          <w:rFonts w:ascii="Times New Roman" w:eastAsia="宋体" w:hAnsi="Times New Roman" w:cs="Times New Roman"/>
          <w:sz w:val="24"/>
          <w:szCs w:val="24"/>
          <w:lang w:eastAsia="zh-Hans"/>
        </w:rPr>
        <w:t>12</w:t>
      </w:r>
      <w:r>
        <w:rPr>
          <w:rFonts w:ascii="Times New Roman" w:eastAsia="宋体" w:hAnsi="Times New Roman" w:cs="Times New Roman"/>
          <w:sz w:val="24"/>
          <w:szCs w:val="24"/>
          <w:lang w:eastAsia="zh-Hans"/>
        </w:rPr>
        <w:t>月建成投运，拥有</w:t>
      </w:r>
      <w:r>
        <w:rPr>
          <w:rFonts w:ascii="Times New Roman" w:eastAsia="宋体" w:hAnsi="Times New Roman" w:cs="Times New Roman"/>
          <w:sz w:val="24"/>
          <w:szCs w:val="24"/>
          <w:lang w:eastAsia="zh-Hans"/>
        </w:rPr>
        <w:t>1000</w:t>
      </w:r>
      <w:r>
        <w:rPr>
          <w:rFonts w:ascii="Times New Roman" w:eastAsia="宋体" w:hAnsi="Times New Roman" w:cs="Times New Roman"/>
          <w:sz w:val="24"/>
          <w:szCs w:val="24"/>
          <w:lang w:eastAsia="zh-Hans"/>
        </w:rPr>
        <w:t>吨级（兼顾</w:t>
      </w:r>
      <w:r>
        <w:rPr>
          <w:rFonts w:ascii="Times New Roman" w:eastAsia="宋体" w:hAnsi="Times New Roman" w:cs="Times New Roman"/>
          <w:sz w:val="24"/>
          <w:szCs w:val="24"/>
          <w:lang w:eastAsia="zh-Hans"/>
        </w:rPr>
        <w:t>3000</w:t>
      </w:r>
      <w:r>
        <w:rPr>
          <w:rFonts w:ascii="Times New Roman" w:eastAsia="宋体" w:hAnsi="Times New Roman" w:cs="Times New Roman"/>
          <w:sz w:val="24"/>
          <w:szCs w:val="24"/>
          <w:lang w:eastAsia="zh-Hans"/>
        </w:rPr>
        <w:t>吨级）多用途泊位</w:t>
      </w:r>
      <w:r>
        <w:rPr>
          <w:rFonts w:ascii="Times New Roman" w:eastAsia="宋体" w:hAnsi="Times New Roman" w:cs="Times New Roman"/>
          <w:sz w:val="24"/>
          <w:szCs w:val="24"/>
          <w:lang w:eastAsia="zh-Hans"/>
        </w:rPr>
        <w:t>4</w:t>
      </w:r>
      <w:r>
        <w:rPr>
          <w:rFonts w:ascii="Times New Roman" w:eastAsia="宋体" w:hAnsi="Times New Roman" w:cs="Times New Roman"/>
          <w:sz w:val="24"/>
          <w:szCs w:val="24"/>
          <w:lang w:eastAsia="zh-Hans"/>
        </w:rPr>
        <w:t>个、</w:t>
      </w:r>
      <w:r>
        <w:rPr>
          <w:rFonts w:ascii="Times New Roman" w:eastAsia="宋体" w:hAnsi="Times New Roman" w:cs="Times New Roman"/>
          <w:sz w:val="24"/>
          <w:szCs w:val="24"/>
          <w:lang w:eastAsia="zh-Hans"/>
        </w:rPr>
        <w:t>1000</w:t>
      </w:r>
      <w:r>
        <w:rPr>
          <w:rFonts w:ascii="Times New Roman" w:eastAsia="宋体" w:hAnsi="Times New Roman" w:cs="Times New Roman"/>
          <w:sz w:val="24"/>
          <w:szCs w:val="24"/>
          <w:lang w:eastAsia="zh-Hans"/>
        </w:rPr>
        <w:t>吨级重件泊位</w:t>
      </w:r>
      <w:r>
        <w:rPr>
          <w:rFonts w:ascii="Times New Roman" w:eastAsia="宋体" w:hAnsi="Times New Roman" w:cs="Times New Roman"/>
          <w:sz w:val="24"/>
          <w:szCs w:val="24"/>
          <w:lang w:eastAsia="zh-Hans"/>
        </w:rPr>
        <w:t>1</w:t>
      </w:r>
      <w:r>
        <w:rPr>
          <w:rFonts w:ascii="Times New Roman" w:eastAsia="宋体" w:hAnsi="Times New Roman" w:cs="Times New Roman"/>
          <w:sz w:val="24"/>
          <w:szCs w:val="24"/>
          <w:lang w:eastAsia="zh-Hans"/>
        </w:rPr>
        <w:t>个、滚装泊位</w:t>
      </w:r>
      <w:r>
        <w:rPr>
          <w:rFonts w:ascii="Times New Roman" w:eastAsia="宋体" w:hAnsi="Times New Roman" w:cs="Times New Roman"/>
          <w:sz w:val="24"/>
          <w:szCs w:val="24"/>
          <w:lang w:eastAsia="zh-Hans"/>
        </w:rPr>
        <w:t>1</w:t>
      </w:r>
      <w:r>
        <w:rPr>
          <w:rFonts w:ascii="Times New Roman" w:eastAsia="宋体" w:hAnsi="Times New Roman" w:cs="Times New Roman"/>
          <w:sz w:val="24"/>
          <w:szCs w:val="24"/>
          <w:lang w:eastAsia="zh-Hans"/>
        </w:rPr>
        <w:t>个、</w:t>
      </w:r>
      <w:r>
        <w:rPr>
          <w:rFonts w:ascii="Times New Roman" w:eastAsia="宋体" w:hAnsi="Times New Roman" w:cs="Times New Roman"/>
          <w:sz w:val="24"/>
          <w:szCs w:val="24"/>
          <w:lang w:eastAsia="zh-Hans"/>
        </w:rPr>
        <w:t>1000</w:t>
      </w:r>
      <w:r>
        <w:rPr>
          <w:rFonts w:ascii="Times New Roman" w:eastAsia="宋体" w:hAnsi="Times New Roman" w:cs="Times New Roman"/>
          <w:sz w:val="24"/>
          <w:szCs w:val="24"/>
          <w:lang w:eastAsia="zh-Hans"/>
        </w:rPr>
        <w:t>吨级（兼顾</w:t>
      </w:r>
      <w:r>
        <w:rPr>
          <w:rFonts w:ascii="Times New Roman" w:eastAsia="宋体" w:hAnsi="Times New Roman" w:cs="Times New Roman"/>
          <w:sz w:val="24"/>
          <w:szCs w:val="24"/>
          <w:lang w:eastAsia="zh-Hans"/>
        </w:rPr>
        <w:t>3000</w:t>
      </w:r>
      <w:r>
        <w:rPr>
          <w:rFonts w:ascii="Times New Roman" w:eastAsia="宋体" w:hAnsi="Times New Roman" w:cs="Times New Roman"/>
          <w:sz w:val="24"/>
          <w:szCs w:val="24"/>
          <w:lang w:eastAsia="zh-Hans"/>
        </w:rPr>
        <w:t>吨级）散货泊位</w:t>
      </w:r>
      <w:r>
        <w:rPr>
          <w:rFonts w:ascii="Times New Roman" w:eastAsia="宋体" w:hAnsi="Times New Roman" w:cs="Times New Roman"/>
          <w:sz w:val="24"/>
          <w:szCs w:val="24"/>
          <w:lang w:eastAsia="zh-Hans"/>
        </w:rPr>
        <w:t>3</w:t>
      </w:r>
      <w:r>
        <w:rPr>
          <w:rFonts w:ascii="Times New Roman" w:eastAsia="宋体" w:hAnsi="Times New Roman" w:cs="Times New Roman"/>
          <w:sz w:val="24"/>
          <w:szCs w:val="24"/>
          <w:lang w:eastAsia="zh-Hans"/>
        </w:rPr>
        <w:t>个、设计年吞吐能力为集装箱</w:t>
      </w:r>
      <w:r>
        <w:rPr>
          <w:rFonts w:ascii="Times New Roman" w:eastAsia="宋体" w:hAnsi="Times New Roman" w:cs="Times New Roman"/>
          <w:sz w:val="24"/>
          <w:szCs w:val="24"/>
          <w:lang w:eastAsia="zh-Hans"/>
        </w:rPr>
        <w:t>21.5</w:t>
      </w:r>
      <w:r>
        <w:rPr>
          <w:rFonts w:ascii="Times New Roman" w:eastAsia="宋体" w:hAnsi="Times New Roman" w:cs="Times New Roman"/>
          <w:sz w:val="24"/>
          <w:szCs w:val="24"/>
          <w:lang w:eastAsia="zh-Hans"/>
        </w:rPr>
        <w:t>万标箱、件杂</w:t>
      </w:r>
      <w:r>
        <w:rPr>
          <w:rFonts w:ascii="Times New Roman" w:eastAsia="宋体" w:hAnsi="Times New Roman" w:cs="Times New Roman"/>
          <w:sz w:val="24"/>
          <w:szCs w:val="24"/>
          <w:lang w:eastAsia="zh-Hans"/>
        </w:rPr>
        <w:t>190</w:t>
      </w:r>
      <w:r>
        <w:rPr>
          <w:rFonts w:ascii="Times New Roman" w:eastAsia="宋体" w:hAnsi="Times New Roman" w:cs="Times New Roman"/>
          <w:sz w:val="24"/>
          <w:szCs w:val="24"/>
          <w:lang w:eastAsia="zh-Hans"/>
        </w:rPr>
        <w:t>万吨、重载滚装</w:t>
      </w:r>
      <w:r>
        <w:rPr>
          <w:rFonts w:ascii="Times New Roman" w:eastAsia="宋体" w:hAnsi="Times New Roman" w:cs="Times New Roman"/>
          <w:sz w:val="24"/>
          <w:szCs w:val="24"/>
          <w:lang w:eastAsia="zh-Hans"/>
        </w:rPr>
        <w:t>10</w:t>
      </w:r>
      <w:r>
        <w:rPr>
          <w:rFonts w:ascii="Times New Roman" w:eastAsia="宋体" w:hAnsi="Times New Roman" w:cs="Times New Roman"/>
          <w:sz w:val="24"/>
          <w:szCs w:val="24"/>
          <w:lang w:eastAsia="zh-Hans"/>
        </w:rPr>
        <w:t>万辆、散货</w:t>
      </w:r>
      <w:r>
        <w:rPr>
          <w:rFonts w:ascii="Times New Roman" w:eastAsia="宋体" w:hAnsi="Times New Roman" w:cs="Times New Roman"/>
          <w:sz w:val="24"/>
          <w:szCs w:val="24"/>
          <w:lang w:eastAsia="zh-Hans"/>
        </w:rPr>
        <w:t>588</w:t>
      </w:r>
      <w:r>
        <w:rPr>
          <w:rFonts w:ascii="Times New Roman" w:eastAsia="宋体" w:hAnsi="Times New Roman" w:cs="Times New Roman"/>
          <w:sz w:val="24"/>
          <w:szCs w:val="24"/>
          <w:lang w:eastAsia="zh-Hans"/>
        </w:rPr>
        <w:t>万吨、港区拥有堆场面积</w:t>
      </w:r>
      <w:r>
        <w:rPr>
          <w:rFonts w:ascii="Times New Roman" w:eastAsia="宋体" w:hAnsi="Times New Roman" w:cs="Times New Roman"/>
          <w:sz w:val="24"/>
          <w:szCs w:val="24"/>
          <w:lang w:eastAsia="zh-Hans"/>
        </w:rPr>
        <w:t>25.7</w:t>
      </w:r>
      <w:r>
        <w:rPr>
          <w:rFonts w:ascii="Times New Roman" w:eastAsia="宋体" w:hAnsi="Times New Roman" w:cs="Times New Roman"/>
          <w:sz w:val="24"/>
          <w:szCs w:val="24"/>
          <w:lang w:eastAsia="zh-Hans"/>
        </w:rPr>
        <w:t>万平方米、仓储面积</w:t>
      </w:r>
      <w:r>
        <w:rPr>
          <w:rFonts w:ascii="Times New Roman" w:eastAsia="宋体" w:hAnsi="Times New Roman" w:cs="Times New Roman"/>
          <w:sz w:val="24"/>
          <w:szCs w:val="24"/>
          <w:lang w:eastAsia="zh-Hans"/>
        </w:rPr>
        <w:t>18.5</w:t>
      </w:r>
      <w:r>
        <w:rPr>
          <w:rFonts w:ascii="Times New Roman" w:eastAsia="宋体" w:hAnsi="Times New Roman" w:cs="Times New Roman"/>
          <w:sz w:val="24"/>
          <w:szCs w:val="24"/>
          <w:lang w:eastAsia="zh-Hans"/>
        </w:rPr>
        <w:t>万平方米、拥有国家临时开放口岸、进境粮食指定口岸，参与建设了长江上游成宜国际物流园、广西川桂国际产能合作产业园项目等跨区域临港产业项目。</w:t>
      </w:r>
    </w:p>
    <w:p w14:paraId="41354855"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为提升港口生产效率、保障码头作业安全、降低经营成本，宜宾港通过物联网、</w:t>
      </w:r>
      <w:r>
        <w:rPr>
          <w:rFonts w:ascii="Times New Roman" w:eastAsia="宋体" w:hAnsi="Times New Roman" w:cs="Times New Roman"/>
          <w:sz w:val="24"/>
          <w:szCs w:val="24"/>
          <w:lang w:eastAsia="zh-Hans"/>
        </w:rPr>
        <w:t>5G</w:t>
      </w:r>
      <w:r>
        <w:rPr>
          <w:rFonts w:ascii="Times New Roman" w:eastAsia="宋体" w:hAnsi="Times New Roman" w:cs="Times New Roman"/>
          <w:sz w:val="24"/>
          <w:szCs w:val="24"/>
          <w:lang w:eastAsia="zh-Hans"/>
        </w:rPr>
        <w:t>通讯、可视化等先进信息技术，打造成为零碳、智慧、绿色内河大港，也是四川首个</w:t>
      </w:r>
      <w:r>
        <w:rPr>
          <w:rFonts w:ascii="Times New Roman" w:eastAsia="宋体" w:hAnsi="Times New Roman" w:cs="Times New Roman"/>
          <w:sz w:val="24"/>
          <w:szCs w:val="24"/>
          <w:lang w:eastAsia="zh-Hans"/>
        </w:rPr>
        <w:t>5G</w:t>
      </w:r>
      <w:r>
        <w:rPr>
          <w:rFonts w:ascii="Times New Roman" w:eastAsia="宋体" w:hAnsi="Times New Roman" w:cs="Times New Roman"/>
          <w:sz w:val="24"/>
          <w:szCs w:val="24"/>
          <w:lang w:eastAsia="zh-Hans"/>
        </w:rPr>
        <w:t>智慧港口。一期工程已于今年</w:t>
      </w:r>
      <w:r>
        <w:rPr>
          <w:rFonts w:ascii="Times New Roman" w:eastAsia="宋体" w:hAnsi="Times New Roman" w:cs="Times New Roman"/>
          <w:sz w:val="24"/>
          <w:szCs w:val="24"/>
          <w:lang w:eastAsia="zh-Hans"/>
        </w:rPr>
        <w:t>3</w:t>
      </w:r>
      <w:r>
        <w:rPr>
          <w:rFonts w:ascii="Times New Roman" w:eastAsia="宋体" w:hAnsi="Times New Roman" w:cs="Times New Roman"/>
          <w:sz w:val="24"/>
          <w:szCs w:val="24"/>
          <w:lang w:eastAsia="zh-Hans"/>
        </w:rPr>
        <w:t>月完成了设备安装工作，进入试运行阶段。智慧港口一期项目主要建设了</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一大平台、三大系统</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和覆盖全港区的</w:t>
      </w:r>
      <w:r>
        <w:rPr>
          <w:rFonts w:ascii="Times New Roman" w:eastAsia="宋体" w:hAnsi="Times New Roman" w:cs="Times New Roman"/>
          <w:sz w:val="24"/>
          <w:szCs w:val="24"/>
          <w:lang w:eastAsia="zh-Hans"/>
        </w:rPr>
        <w:t>5G</w:t>
      </w:r>
      <w:r>
        <w:rPr>
          <w:rFonts w:ascii="Times New Roman" w:eastAsia="宋体" w:hAnsi="Times New Roman" w:cs="Times New Roman"/>
          <w:sz w:val="24"/>
          <w:szCs w:val="24"/>
          <w:lang w:eastAsia="zh-Hans"/>
        </w:rPr>
        <w:t>信号和视频监控。</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一大平台</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指的是</w:t>
      </w:r>
      <w:r>
        <w:rPr>
          <w:rFonts w:ascii="Times New Roman" w:eastAsia="宋体" w:hAnsi="Times New Roman" w:cs="Times New Roman"/>
          <w:b/>
          <w:sz w:val="24"/>
          <w:szCs w:val="24"/>
          <w:lang w:eastAsia="zh-Hans"/>
        </w:rPr>
        <w:t>港口业务大数据可视化展示平台</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lastRenderedPageBreak/>
        <w:t>通过实时对接</w:t>
      </w:r>
      <w:r>
        <w:rPr>
          <w:rFonts w:ascii="Times New Roman" w:eastAsia="宋体" w:hAnsi="Times New Roman" w:cs="Times New Roman"/>
          <w:sz w:val="24"/>
          <w:szCs w:val="24"/>
          <w:lang w:eastAsia="zh-Hans"/>
        </w:rPr>
        <w:t>5</w:t>
      </w:r>
      <w:r>
        <w:rPr>
          <w:rFonts w:ascii="Times New Roman" w:eastAsia="宋体" w:hAnsi="Times New Roman" w:cs="Times New Roman"/>
          <w:sz w:val="24"/>
          <w:szCs w:val="24"/>
          <w:lang w:eastAsia="zh-Hans"/>
        </w:rPr>
        <w:t>套智慧化系统，真实反应出当前港区堆场、设备运行、船舶作业、业务运行分析、闸口进出车辆、视频监控等生产作业情况，实现了港口实时数据可视化。</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三大系统</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分别为</w:t>
      </w:r>
      <w:r>
        <w:rPr>
          <w:rFonts w:ascii="Times New Roman" w:eastAsia="宋体" w:hAnsi="Times New Roman" w:cs="Times New Roman"/>
          <w:b/>
          <w:sz w:val="24"/>
          <w:szCs w:val="24"/>
          <w:lang w:eastAsia="zh-Hans"/>
        </w:rPr>
        <w:t>集装箱智能闸口系统、码头集装箱生产作业系统、场桥智能远程控制系统</w:t>
      </w:r>
      <w:r>
        <w:rPr>
          <w:rFonts w:ascii="Times New Roman" w:eastAsia="宋体" w:hAnsi="Times New Roman" w:cs="Times New Roman"/>
          <w:sz w:val="24"/>
          <w:szCs w:val="24"/>
          <w:lang w:eastAsia="zh-Hans"/>
        </w:rPr>
        <w:t>。通过智慧港口建设，港口的用人成本、运营成本、翻箱率、事故发生率大幅度下降，装卸船管理效率、港口作业效率得到有效提高。真正实现港口生产调度一张网，数据安全不出港。</w:t>
      </w:r>
    </w:p>
    <w:p w14:paraId="3424ADB6"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第一个是</w:t>
      </w:r>
      <w:r>
        <w:rPr>
          <w:rFonts w:ascii="Times New Roman" w:eastAsia="宋体" w:hAnsi="Times New Roman" w:cs="Times New Roman"/>
          <w:b/>
          <w:sz w:val="24"/>
          <w:szCs w:val="24"/>
          <w:lang w:eastAsia="zh-Hans"/>
        </w:rPr>
        <w:t>集装箱智能闸口系统</w:t>
      </w:r>
      <w:r>
        <w:rPr>
          <w:rFonts w:ascii="Times New Roman" w:eastAsia="宋体" w:hAnsi="Times New Roman" w:cs="Times New Roman"/>
          <w:sz w:val="24"/>
          <w:szCs w:val="24"/>
          <w:lang w:eastAsia="zh-Hans"/>
        </w:rPr>
        <w:t>。通过对原有人工作业的闸口进行智能化改造，建设了基于物联网、视频图像识别的港口智能闸口系统，实现对外集卡车辆进出港区的智能化管理，包括车牌自动识别、箱号自动识别、自动称重、自动放行。闸口与业务系统实时信息交互，实现了集卡过闸进提箱的无人化和智能化。</w:t>
      </w:r>
    </w:p>
    <w:p w14:paraId="7E28E7DE"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第二个是</w:t>
      </w:r>
      <w:r>
        <w:rPr>
          <w:rFonts w:ascii="Times New Roman" w:eastAsia="宋体" w:hAnsi="Times New Roman" w:cs="Times New Roman"/>
          <w:b/>
          <w:sz w:val="24"/>
          <w:szCs w:val="24"/>
          <w:lang w:eastAsia="zh-Hans"/>
        </w:rPr>
        <w:t>集装箱生产作业系统</w:t>
      </w:r>
      <w:r>
        <w:rPr>
          <w:rFonts w:ascii="Times New Roman" w:eastAsia="宋体" w:hAnsi="Times New Roman" w:cs="Times New Roman"/>
          <w:sz w:val="24"/>
          <w:szCs w:val="24"/>
          <w:lang w:eastAsia="zh-Hans"/>
        </w:rPr>
        <w:t>。建设了两套港口作业生产智能化应用系统。包括建设集装箱作业管理系统，实现堆场计划、船舶计划的智能化，作业岸桥分配的自动化，作业过程控制的可视化及作业调度组织的精细化，实时快速了解港区场内业务量。</w:t>
      </w:r>
    </w:p>
    <w:p w14:paraId="02543E2B"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第三个是</w:t>
      </w:r>
      <w:r>
        <w:rPr>
          <w:rFonts w:ascii="Times New Roman" w:eastAsia="宋体" w:hAnsi="Times New Roman" w:cs="Times New Roman"/>
          <w:b/>
          <w:sz w:val="24"/>
          <w:szCs w:val="24"/>
          <w:lang w:eastAsia="zh-Hans"/>
        </w:rPr>
        <w:t>场桥智能远程控制系统</w:t>
      </w:r>
      <w:r>
        <w:rPr>
          <w:rFonts w:ascii="Times New Roman" w:eastAsia="宋体" w:hAnsi="Times New Roman" w:cs="Times New Roman"/>
          <w:sz w:val="24"/>
          <w:szCs w:val="24"/>
          <w:lang w:eastAsia="zh-Hans"/>
        </w:rPr>
        <w:t>。借助于先进的软件、网络、视频、传感和控制技术对港区内场桥进行智能化改造，实现场桥直接从集装箱作业管理系统中接收命令，实现场桥设备的远程操控，大大节约人力资源，降低用工成本，同时改善了司机的作业环境和条件，提升码头作业的智能化水平。</w:t>
      </w:r>
    </w:p>
    <w:p w14:paraId="74E19750" w14:textId="77777777" w:rsidR="00CC512B" w:rsidRDefault="00000000">
      <w:pPr>
        <w:pStyle w:val="af8"/>
        <w:rPr>
          <w:lang w:eastAsia="zh-Hans"/>
        </w:rPr>
      </w:pPr>
      <w:r>
        <w:rPr>
          <w:noProof/>
          <w:lang w:eastAsia="zh-Hans"/>
        </w:rPr>
        <w:lastRenderedPageBreak/>
        <w:drawing>
          <wp:inline distT="0" distB="0" distL="0" distR="0" wp14:anchorId="0E73C252" wp14:editId="09F282F5">
            <wp:extent cx="5273040" cy="3603625"/>
            <wp:effectExtent l="0" t="0" r="3810" b="0"/>
            <wp:docPr id="4" name="图片 4" descr="C:\Users\ADMINI~1\AppData\Local\Temp\WeChat Files\31e4fee8cb8a6d6f2d1cd19eec3540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31e4fee8cb8a6d6f2d1cd19eec3540e.jpg"/>
                    <pic:cNvPicPr>
                      <a:picLocks noChangeAspect="1" noChangeArrowheads="1"/>
                    </pic:cNvPicPr>
                  </pic:nvPicPr>
                  <pic:blipFill>
                    <a:blip r:embed="rId8" cstate="print">
                      <a:extLst>
                        <a:ext uri="{28A0092B-C50C-407E-A947-70E740481C1C}">
                          <a14:useLocalDpi xmlns:a14="http://schemas.microsoft.com/office/drawing/2010/main" val="0"/>
                        </a:ext>
                      </a:extLst>
                    </a:blip>
                    <a:srcRect t="7365" b="1386"/>
                    <a:stretch>
                      <a:fillRect/>
                    </a:stretch>
                  </pic:blipFill>
                  <pic:spPr>
                    <a:xfrm>
                      <a:off x="0" y="0"/>
                      <a:ext cx="5274310" cy="3604756"/>
                    </a:xfrm>
                    <a:prstGeom prst="rect">
                      <a:avLst/>
                    </a:prstGeom>
                    <a:noFill/>
                    <a:ln>
                      <a:noFill/>
                    </a:ln>
                  </pic:spPr>
                </pic:pic>
              </a:graphicData>
            </a:graphic>
          </wp:inline>
        </w:drawing>
      </w:r>
    </w:p>
    <w:p w14:paraId="0D76D1E7" w14:textId="77777777" w:rsidR="00CC512B" w:rsidRDefault="00000000">
      <w:pPr>
        <w:pStyle w:val="af8"/>
      </w:pPr>
      <w:r>
        <w:rPr>
          <w:rFonts w:hint="eastAsia"/>
          <w:lang w:eastAsia="zh-Hans"/>
        </w:rPr>
        <w:t>图</w:t>
      </w:r>
      <w:r>
        <w:rPr>
          <w:rFonts w:hint="eastAsia"/>
        </w:rPr>
        <w:t>1</w:t>
      </w:r>
      <w:r>
        <w:t xml:space="preserve"> </w:t>
      </w:r>
      <w:r>
        <w:rPr>
          <w:rFonts w:hint="eastAsia"/>
        </w:rPr>
        <w:t>宜宾港</w:t>
      </w:r>
      <w:r>
        <w:rPr>
          <w:rFonts w:hint="eastAsia"/>
        </w:rPr>
        <w:t>5</w:t>
      </w:r>
      <w:r>
        <w:t>G</w:t>
      </w:r>
      <w:r>
        <w:rPr>
          <w:rFonts w:hint="eastAsia"/>
        </w:rPr>
        <w:t>智慧港口可视化平台</w:t>
      </w:r>
    </w:p>
    <w:p w14:paraId="225F3C73"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为切实推进宜宾港水铁公等多式联运，</w:t>
      </w:r>
      <w:r>
        <w:rPr>
          <w:rFonts w:ascii="Times New Roman" w:eastAsia="宋体" w:hAnsi="Times New Roman" w:cs="Times New Roman"/>
          <w:sz w:val="24"/>
          <w:szCs w:val="24"/>
          <w:lang w:eastAsia="zh-Hans"/>
        </w:rPr>
        <w:t xml:space="preserve"> 22.6</w:t>
      </w:r>
      <w:r>
        <w:rPr>
          <w:rFonts w:ascii="Times New Roman" w:eastAsia="宋体" w:hAnsi="Times New Roman" w:cs="Times New Roman"/>
          <w:sz w:val="24"/>
          <w:szCs w:val="24"/>
          <w:lang w:eastAsia="zh-Hans"/>
        </w:rPr>
        <w:t>公里的进港铁路正在进行铺轨作业，预计今年</w:t>
      </w:r>
      <w:r>
        <w:rPr>
          <w:rFonts w:ascii="Times New Roman" w:eastAsia="宋体" w:hAnsi="Times New Roman" w:cs="Times New Roman"/>
          <w:sz w:val="24"/>
          <w:szCs w:val="24"/>
          <w:lang w:eastAsia="zh-Hans"/>
        </w:rPr>
        <w:t>9</w:t>
      </w:r>
      <w:r>
        <w:rPr>
          <w:rFonts w:ascii="Times New Roman" w:eastAsia="宋体" w:hAnsi="Times New Roman" w:cs="Times New Roman"/>
          <w:sz w:val="24"/>
          <w:szCs w:val="24"/>
          <w:lang w:eastAsia="zh-Hans"/>
        </w:rPr>
        <w:t>月底开通试运行。如图所示，铁路开通运行后，将连接散货泊位与集装箱泊位。</w:t>
      </w:r>
    </w:p>
    <w:p w14:paraId="3A9EBDBA" w14:textId="77777777" w:rsidR="00CC512B" w:rsidRDefault="00000000">
      <w:pPr>
        <w:pStyle w:val="af8"/>
        <w:rPr>
          <w:lang w:eastAsia="zh-Hans"/>
        </w:rPr>
      </w:pPr>
      <w:r>
        <w:rPr>
          <w:noProof/>
          <w:lang w:eastAsia="zh-Hans"/>
        </w:rPr>
        <w:drawing>
          <wp:inline distT="0" distB="0" distL="0" distR="0" wp14:anchorId="3796A933" wp14:editId="29E5EC36">
            <wp:extent cx="4914265" cy="3479165"/>
            <wp:effectExtent l="0" t="0" r="635" b="698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15407" cy="3479859"/>
                    </a:xfrm>
                    <a:prstGeom prst="rect">
                      <a:avLst/>
                    </a:prstGeom>
                    <a:noFill/>
                    <a:ln>
                      <a:noFill/>
                    </a:ln>
                  </pic:spPr>
                </pic:pic>
              </a:graphicData>
            </a:graphic>
          </wp:inline>
        </w:drawing>
      </w:r>
    </w:p>
    <w:p w14:paraId="76E15A04" w14:textId="77777777" w:rsidR="00CC512B" w:rsidRDefault="00000000">
      <w:pPr>
        <w:pStyle w:val="af8"/>
      </w:pPr>
      <w:r>
        <w:rPr>
          <w:rFonts w:hint="eastAsia"/>
          <w:lang w:eastAsia="zh-Hans"/>
        </w:rPr>
        <w:t>图</w:t>
      </w:r>
      <w:r>
        <w:rPr>
          <w:rFonts w:hint="eastAsia"/>
        </w:rPr>
        <w:t>2</w:t>
      </w:r>
      <w:r>
        <w:t xml:space="preserve"> </w:t>
      </w:r>
      <w:r>
        <w:rPr>
          <w:rFonts w:hint="eastAsia"/>
        </w:rPr>
        <w:t>宜宾国际物流园临港片区实景航拍图</w:t>
      </w:r>
    </w:p>
    <w:p w14:paraId="3E47364D"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lastRenderedPageBreak/>
        <w:t>宜宾港作为万里长江第一港，其业务范围涉及川滇黔三省，腹地货源深入</w:t>
      </w:r>
      <w:r>
        <w:rPr>
          <w:rFonts w:ascii="Times New Roman" w:eastAsia="宋体" w:hAnsi="Times New Roman" w:cs="Times New Roman"/>
          <w:sz w:val="24"/>
          <w:szCs w:val="24"/>
          <w:lang w:eastAsia="zh-Hans"/>
        </w:rPr>
        <w:t>20</w:t>
      </w:r>
      <w:r>
        <w:rPr>
          <w:rFonts w:ascii="Times New Roman" w:eastAsia="宋体" w:hAnsi="Times New Roman" w:cs="Times New Roman"/>
          <w:sz w:val="24"/>
          <w:szCs w:val="24"/>
          <w:lang w:eastAsia="zh-Hans"/>
        </w:rPr>
        <w:t>个周边区域，通过已建货运铁路与高速公路实现连接。</w:t>
      </w:r>
    </w:p>
    <w:p w14:paraId="4CFB02B6" w14:textId="77777777" w:rsidR="00CC512B" w:rsidRDefault="00000000">
      <w:pPr>
        <w:pStyle w:val="af8"/>
        <w:rPr>
          <w:lang w:eastAsia="zh-Hans"/>
        </w:rPr>
      </w:pPr>
      <w:r>
        <w:rPr>
          <w:noProof/>
          <w:lang w:eastAsia="zh-Hans"/>
        </w:rPr>
        <w:drawing>
          <wp:inline distT="0" distB="0" distL="0" distR="0" wp14:anchorId="74A38F8F" wp14:editId="41C746C7">
            <wp:extent cx="4836160" cy="3930650"/>
            <wp:effectExtent l="0" t="0" r="2540" b="0"/>
            <wp:docPr id="7" name="图片 7" descr="http://www.spsiybport.com/uploads/20211120/45d4f55fe66a4f125349d6146e72b7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spsiybport.com/uploads/20211120/45d4f55fe66a4f125349d6146e72b774.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842907" cy="3936247"/>
                    </a:xfrm>
                    <a:prstGeom prst="rect">
                      <a:avLst/>
                    </a:prstGeom>
                    <a:noFill/>
                    <a:ln>
                      <a:noFill/>
                    </a:ln>
                  </pic:spPr>
                </pic:pic>
              </a:graphicData>
            </a:graphic>
          </wp:inline>
        </w:drawing>
      </w:r>
    </w:p>
    <w:p w14:paraId="54A3D8AE" w14:textId="77777777" w:rsidR="00CC512B" w:rsidRDefault="00000000">
      <w:pPr>
        <w:pStyle w:val="af8"/>
      </w:pPr>
      <w:r>
        <w:rPr>
          <w:rFonts w:hint="eastAsia"/>
          <w:lang w:eastAsia="zh-Hans"/>
        </w:rPr>
        <w:t>图</w:t>
      </w:r>
      <w:r>
        <w:rPr>
          <w:rFonts w:hint="eastAsia"/>
        </w:rPr>
        <w:t>3</w:t>
      </w:r>
      <w:r>
        <w:t xml:space="preserve"> </w:t>
      </w:r>
      <w:r>
        <w:rPr>
          <w:rFonts w:hint="eastAsia"/>
        </w:rPr>
        <w:t>宜宾港腹地货源分布图</w:t>
      </w:r>
    </w:p>
    <w:p w14:paraId="2CBC7FE0" w14:textId="77777777" w:rsidR="00CC512B" w:rsidRDefault="00CC512B">
      <w:pPr>
        <w:spacing w:line="360" w:lineRule="auto"/>
        <w:ind w:firstLine="480"/>
        <w:rPr>
          <w:rFonts w:ascii="Times New Roman" w:eastAsia="宋体" w:hAnsi="Times New Roman" w:cs="Times New Roman"/>
          <w:sz w:val="24"/>
          <w:szCs w:val="24"/>
          <w:lang w:eastAsia="zh-Hans"/>
        </w:rPr>
      </w:pPr>
    </w:p>
    <w:p w14:paraId="56828718" w14:textId="77777777" w:rsidR="00CC512B" w:rsidRDefault="00000000">
      <w:pPr>
        <w:pStyle w:val="3"/>
        <w:rPr>
          <w:rFonts w:ascii="Times New Roman" w:hAnsi="Times New Roman" w:cs="Times New Roman"/>
        </w:rPr>
      </w:pPr>
      <w:bookmarkStart w:id="12" w:name="_Toc144363205"/>
      <w:r>
        <w:rPr>
          <w:rFonts w:ascii="Times New Roman" w:hAnsi="Times New Roman" w:cs="Times New Roman"/>
        </w:rPr>
        <w:t xml:space="preserve">2.1.2 </w:t>
      </w:r>
      <w:r>
        <w:rPr>
          <w:rFonts w:ascii="Times New Roman" w:hAnsi="Times New Roman" w:cs="Times New Roman"/>
        </w:rPr>
        <w:t>问题</w:t>
      </w:r>
      <w:bookmarkEnd w:id="12"/>
    </w:p>
    <w:p w14:paraId="688591F0" w14:textId="77777777" w:rsidR="00CC512B" w:rsidRDefault="00000000">
      <w:pPr>
        <w:spacing w:line="360" w:lineRule="auto"/>
        <w:ind w:firstLine="480"/>
        <w:rPr>
          <w:rFonts w:ascii="Times New Roman" w:eastAsia="宋体" w:hAnsi="Times New Roman" w:cs="Times New Roman"/>
          <w:b/>
          <w:bCs/>
          <w:sz w:val="24"/>
          <w:szCs w:val="24"/>
        </w:rPr>
      </w:pPr>
      <w:r>
        <w:rPr>
          <w:rFonts w:ascii="Times New Roman" w:eastAsia="宋体" w:hAnsi="Times New Roman" w:cs="Times New Roman"/>
          <w:b/>
          <w:bCs/>
          <w:sz w:val="24"/>
          <w:szCs w:val="24"/>
          <w:lang w:eastAsia="zh-Hans"/>
        </w:rPr>
        <w:t>（</w:t>
      </w:r>
      <w:r>
        <w:rPr>
          <w:rFonts w:ascii="Times New Roman" w:eastAsia="宋体" w:hAnsi="Times New Roman" w:cs="Times New Roman"/>
          <w:b/>
          <w:bCs/>
          <w:sz w:val="24"/>
          <w:szCs w:val="24"/>
        </w:rPr>
        <w:t>1</w:t>
      </w:r>
      <w:r>
        <w:rPr>
          <w:rFonts w:ascii="Times New Roman" w:eastAsia="宋体" w:hAnsi="Times New Roman" w:cs="Times New Roman"/>
          <w:b/>
          <w:bCs/>
          <w:sz w:val="24"/>
          <w:szCs w:val="24"/>
        </w:rPr>
        <w:t>）</w:t>
      </w:r>
      <w:r>
        <w:rPr>
          <w:rFonts w:ascii="Times New Roman" w:eastAsia="宋体" w:hAnsi="Times New Roman" w:cs="Times New Roman" w:hint="eastAsia"/>
          <w:b/>
          <w:bCs/>
          <w:sz w:val="24"/>
          <w:szCs w:val="24"/>
        </w:rPr>
        <w:t>港口资源分配、调度、协调等问题</w:t>
      </w:r>
    </w:p>
    <w:p w14:paraId="673C8571" w14:textId="77777777" w:rsidR="00CC512B" w:rsidRDefault="00000000">
      <w:pPr>
        <w:spacing w:line="360" w:lineRule="auto"/>
        <w:ind w:firstLine="480"/>
        <w:rPr>
          <w:rFonts w:ascii="Times New Roman" w:eastAsia="宋体" w:hAnsi="Times New Roman" w:cs="Times New Roman"/>
          <w:sz w:val="24"/>
          <w:szCs w:val="24"/>
        </w:rPr>
      </w:pPr>
      <w:proofErr w:type="gramStart"/>
      <w:r>
        <w:rPr>
          <w:rFonts w:ascii="Times New Roman" w:eastAsia="宋体" w:hAnsi="Times New Roman" w:cs="Times New Roman"/>
          <w:sz w:val="24"/>
          <w:szCs w:val="24"/>
        </w:rPr>
        <w:t>宜宾港</w:t>
      </w:r>
      <w:proofErr w:type="gramEnd"/>
      <w:r>
        <w:rPr>
          <w:rFonts w:ascii="Times New Roman" w:eastAsia="宋体" w:hAnsi="Times New Roman" w:cs="Times New Roman"/>
          <w:sz w:val="24"/>
          <w:szCs w:val="24"/>
        </w:rPr>
        <w:t>在智慧港口一期正式上线运行后，港区作业质效大幅提升，人工成本明显下降，节能降耗初见成效。在进港铁路正式开通运行后，港区作业将面临更加复杂的协调、调度、衔接等问题。如：泊位岸桥联合分配、岸桥集卡调度、铁路作业设备调度等。当然，智慧港口二期、三期项目还可能会面临其他挑战，</w:t>
      </w:r>
      <w:proofErr w:type="gramStart"/>
      <w:r>
        <w:rPr>
          <w:rFonts w:ascii="Times New Roman" w:eastAsia="宋体" w:hAnsi="Times New Roman" w:cs="Times New Roman"/>
          <w:sz w:val="24"/>
          <w:szCs w:val="24"/>
        </w:rPr>
        <w:t>宜宾港该</w:t>
      </w:r>
      <w:proofErr w:type="gramEnd"/>
      <w:r>
        <w:rPr>
          <w:rFonts w:ascii="Times New Roman" w:eastAsia="宋体" w:hAnsi="Times New Roman" w:cs="Times New Roman"/>
          <w:sz w:val="24"/>
          <w:szCs w:val="24"/>
        </w:rPr>
        <w:t>如何统筹考虑，在数字化、智慧化转型中全面提升内河水运服务经济社会发展能力呢？</w:t>
      </w:r>
    </w:p>
    <w:p w14:paraId="17D8376A" w14:textId="77777777" w:rsidR="00CC512B" w:rsidRDefault="00000000">
      <w:pPr>
        <w:spacing w:line="360" w:lineRule="auto"/>
        <w:ind w:firstLine="480"/>
        <w:rPr>
          <w:rFonts w:ascii="Times New Roman" w:eastAsia="宋体" w:hAnsi="Times New Roman" w:cs="Times New Roman"/>
          <w:b/>
          <w:bCs/>
          <w:sz w:val="24"/>
          <w:szCs w:val="24"/>
        </w:rPr>
      </w:pPr>
      <w:r>
        <w:rPr>
          <w:rFonts w:ascii="Times New Roman" w:eastAsia="宋体" w:hAnsi="Times New Roman" w:cs="Times New Roman"/>
          <w:b/>
          <w:bCs/>
          <w:sz w:val="24"/>
          <w:szCs w:val="24"/>
        </w:rPr>
        <w:t>（</w:t>
      </w:r>
      <w:r>
        <w:rPr>
          <w:rFonts w:ascii="Times New Roman" w:eastAsia="宋体" w:hAnsi="Times New Roman" w:cs="Times New Roman"/>
          <w:b/>
          <w:bCs/>
          <w:sz w:val="24"/>
          <w:szCs w:val="24"/>
        </w:rPr>
        <w:t>2</w:t>
      </w:r>
      <w:r>
        <w:rPr>
          <w:rFonts w:ascii="Times New Roman" w:eastAsia="宋体" w:hAnsi="Times New Roman" w:cs="Times New Roman"/>
          <w:b/>
          <w:bCs/>
          <w:sz w:val="24"/>
          <w:szCs w:val="24"/>
        </w:rPr>
        <w:t>）</w:t>
      </w:r>
      <w:r>
        <w:rPr>
          <w:rFonts w:ascii="Times New Roman" w:eastAsia="宋体" w:hAnsi="Times New Roman" w:cs="Times New Roman" w:hint="eastAsia"/>
          <w:b/>
          <w:bCs/>
          <w:sz w:val="24"/>
          <w:szCs w:val="24"/>
        </w:rPr>
        <w:t>进出港货量不平衡问题</w:t>
      </w:r>
    </w:p>
    <w:p w14:paraId="5CD29E8B"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尽管</w:t>
      </w:r>
      <w:proofErr w:type="gramStart"/>
      <w:r>
        <w:rPr>
          <w:rFonts w:ascii="Times New Roman" w:eastAsia="宋体" w:hAnsi="Times New Roman" w:cs="Times New Roman"/>
          <w:sz w:val="24"/>
          <w:szCs w:val="24"/>
        </w:rPr>
        <w:t>宜宾港</w:t>
      </w:r>
      <w:proofErr w:type="gramEnd"/>
      <w:r>
        <w:rPr>
          <w:rFonts w:ascii="Times New Roman" w:eastAsia="宋体" w:hAnsi="Times New Roman" w:cs="Times New Roman"/>
          <w:sz w:val="24"/>
          <w:szCs w:val="24"/>
        </w:rPr>
        <w:t>作为万里长江第一港，其腹地货源范围广。但</w:t>
      </w:r>
      <w:proofErr w:type="gramStart"/>
      <w:r>
        <w:rPr>
          <w:rFonts w:ascii="Times New Roman" w:eastAsia="宋体" w:hAnsi="Times New Roman" w:cs="Times New Roman"/>
          <w:sz w:val="24"/>
          <w:szCs w:val="24"/>
        </w:rPr>
        <w:t>宜宾港</w:t>
      </w:r>
      <w:proofErr w:type="gramEnd"/>
      <w:r>
        <w:rPr>
          <w:rFonts w:ascii="Times New Roman" w:eastAsia="宋体" w:hAnsi="Times New Roman" w:cs="Times New Roman"/>
          <w:sz w:val="24"/>
          <w:szCs w:val="24"/>
        </w:rPr>
        <w:t>2023</w:t>
      </w:r>
      <w:r>
        <w:rPr>
          <w:rFonts w:ascii="Times New Roman" w:eastAsia="宋体" w:hAnsi="Times New Roman" w:cs="Times New Roman"/>
          <w:sz w:val="24"/>
          <w:szCs w:val="24"/>
        </w:rPr>
        <w:t>年</w:t>
      </w:r>
      <w:r>
        <w:rPr>
          <w:rFonts w:ascii="Times New Roman" w:eastAsia="宋体" w:hAnsi="Times New Roman" w:cs="Times New Roman"/>
          <w:sz w:val="24"/>
          <w:szCs w:val="24"/>
        </w:rPr>
        <w:t>1-6</w:t>
      </w:r>
      <w:r>
        <w:rPr>
          <w:rFonts w:ascii="Times New Roman" w:eastAsia="宋体" w:hAnsi="Times New Roman" w:cs="Times New Roman" w:hint="eastAsia"/>
          <w:sz w:val="24"/>
          <w:szCs w:val="24"/>
        </w:rPr>
        <w:t>月</w:t>
      </w:r>
      <w:r>
        <w:rPr>
          <w:rFonts w:ascii="Times New Roman" w:eastAsia="宋体" w:hAnsi="Times New Roman" w:cs="Times New Roman"/>
          <w:sz w:val="24"/>
          <w:szCs w:val="24"/>
        </w:rPr>
        <w:t>货源统计（附</w:t>
      </w:r>
      <w:r>
        <w:rPr>
          <w:rFonts w:ascii="Times New Roman" w:eastAsia="宋体" w:hAnsi="Times New Roman" w:cs="Times New Roman" w:hint="eastAsia"/>
          <w:sz w:val="24"/>
          <w:szCs w:val="24"/>
        </w:rPr>
        <w:t>表</w:t>
      </w:r>
      <w:r>
        <w:rPr>
          <w:rFonts w:ascii="Times New Roman" w:eastAsia="宋体" w:hAnsi="Times New Roman" w:cs="Times New Roman"/>
          <w:sz w:val="24"/>
          <w:szCs w:val="24"/>
        </w:rPr>
        <w:t>1</w:t>
      </w:r>
      <w:r>
        <w:rPr>
          <w:rFonts w:ascii="Times New Roman" w:eastAsia="宋体" w:hAnsi="Times New Roman" w:cs="Times New Roman"/>
          <w:sz w:val="24"/>
          <w:szCs w:val="24"/>
        </w:rPr>
        <w:t>）显示，上半年进港总量达</w:t>
      </w:r>
      <w:r>
        <w:rPr>
          <w:rFonts w:ascii="Times New Roman" w:eastAsia="宋体" w:hAnsi="Times New Roman" w:cs="Times New Roman"/>
          <w:sz w:val="24"/>
          <w:szCs w:val="24"/>
        </w:rPr>
        <w:t xml:space="preserve">1073135.00 </w:t>
      </w:r>
      <w:r>
        <w:rPr>
          <w:rFonts w:ascii="Times New Roman" w:eastAsia="宋体" w:hAnsi="Times New Roman" w:cs="Times New Roman"/>
          <w:sz w:val="24"/>
          <w:szCs w:val="24"/>
        </w:rPr>
        <w:t>（吨），而出港总</w:t>
      </w:r>
      <w:r>
        <w:rPr>
          <w:rFonts w:ascii="Times New Roman" w:eastAsia="宋体" w:hAnsi="Times New Roman" w:cs="Times New Roman"/>
          <w:sz w:val="24"/>
          <w:szCs w:val="24"/>
        </w:rPr>
        <w:lastRenderedPageBreak/>
        <w:t>量仅</w:t>
      </w:r>
      <w:r>
        <w:rPr>
          <w:rFonts w:ascii="Times New Roman" w:eastAsia="宋体" w:hAnsi="Times New Roman" w:cs="Times New Roman"/>
          <w:sz w:val="24"/>
          <w:szCs w:val="24"/>
        </w:rPr>
        <w:t>177511.00</w:t>
      </w:r>
      <w:r>
        <w:rPr>
          <w:rFonts w:ascii="Times New Roman" w:eastAsia="宋体" w:hAnsi="Times New Roman" w:cs="Times New Roman"/>
          <w:sz w:val="24"/>
          <w:szCs w:val="24"/>
        </w:rPr>
        <w:t>（吨），进出港货量比约</w:t>
      </w:r>
      <w:r>
        <w:rPr>
          <w:rFonts w:ascii="Times New Roman" w:eastAsia="宋体" w:hAnsi="Times New Roman" w:cs="Times New Roman"/>
          <w:sz w:val="24"/>
          <w:szCs w:val="24"/>
        </w:rPr>
        <w:t>6</w:t>
      </w:r>
      <w:r>
        <w:rPr>
          <w:rFonts w:ascii="Times New Roman" w:eastAsia="宋体" w:hAnsi="Times New Roman" w:cs="Times New Roman"/>
          <w:sz w:val="24"/>
          <w:szCs w:val="24"/>
        </w:rPr>
        <w:t>：</w:t>
      </w:r>
      <w:r>
        <w:rPr>
          <w:rFonts w:ascii="Times New Roman" w:eastAsia="宋体" w:hAnsi="Times New Roman" w:cs="Times New Roman"/>
          <w:sz w:val="24"/>
          <w:szCs w:val="24"/>
        </w:rPr>
        <w:t>1</w:t>
      </w:r>
      <w:r>
        <w:rPr>
          <w:rFonts w:ascii="Times New Roman" w:eastAsia="宋体" w:hAnsi="Times New Roman" w:cs="Times New Roman"/>
          <w:sz w:val="24"/>
          <w:szCs w:val="24"/>
        </w:rPr>
        <w:t>，</w:t>
      </w:r>
      <w:proofErr w:type="gramStart"/>
      <w:r>
        <w:rPr>
          <w:rFonts w:ascii="Times New Roman" w:eastAsia="宋体" w:hAnsi="Times New Roman" w:cs="Times New Roman"/>
          <w:sz w:val="24"/>
          <w:szCs w:val="24"/>
        </w:rPr>
        <w:t>货船返空现象</w:t>
      </w:r>
      <w:proofErr w:type="gramEnd"/>
      <w:r>
        <w:rPr>
          <w:rFonts w:ascii="Times New Roman" w:eastAsia="宋体" w:hAnsi="Times New Roman" w:cs="Times New Roman"/>
          <w:sz w:val="24"/>
          <w:szCs w:val="24"/>
        </w:rPr>
        <w:t>突出。</w:t>
      </w:r>
      <w:r>
        <w:rPr>
          <w:rFonts w:ascii="Times New Roman" w:eastAsia="宋体" w:hAnsi="Times New Roman" w:cs="Times New Roman" w:hint="eastAsia"/>
          <w:sz w:val="24"/>
          <w:szCs w:val="24"/>
        </w:rPr>
        <w:t>请思考</w:t>
      </w:r>
      <w:r>
        <w:rPr>
          <w:rFonts w:ascii="Times New Roman" w:eastAsia="宋体" w:hAnsi="Times New Roman" w:cs="Times New Roman"/>
          <w:sz w:val="24"/>
          <w:szCs w:val="24"/>
        </w:rPr>
        <w:t>如何围绕（包括不限于）成渝主轴智能制造产业、川南高端白酒酿造产业、攀西资源产业建设来</w:t>
      </w:r>
      <w:proofErr w:type="gramStart"/>
      <w:r>
        <w:rPr>
          <w:rFonts w:ascii="Times New Roman" w:eastAsia="宋体" w:hAnsi="Times New Roman" w:cs="Times New Roman"/>
          <w:sz w:val="24"/>
          <w:szCs w:val="24"/>
        </w:rPr>
        <w:t>吸引适水货物</w:t>
      </w:r>
      <w:proofErr w:type="gramEnd"/>
      <w:r>
        <w:rPr>
          <w:rFonts w:ascii="Times New Roman" w:eastAsia="宋体" w:hAnsi="Times New Roman" w:cs="Times New Roman"/>
          <w:sz w:val="24"/>
          <w:szCs w:val="24"/>
        </w:rPr>
        <w:t>从宜下水</w:t>
      </w:r>
      <w:r>
        <w:rPr>
          <w:rFonts w:ascii="Times New Roman" w:eastAsia="宋体" w:hAnsi="Times New Roman" w:cs="Times New Roman" w:hint="eastAsia"/>
          <w:sz w:val="24"/>
          <w:szCs w:val="24"/>
        </w:rPr>
        <w:t>，或从其他角度缓解甚至解决进出港货量不平衡的问题。</w:t>
      </w:r>
    </w:p>
    <w:p w14:paraId="17192DD0" w14:textId="77777777" w:rsidR="00CC512B" w:rsidRDefault="00000000">
      <w:pPr>
        <w:spacing w:line="360" w:lineRule="auto"/>
        <w:ind w:firstLine="480"/>
        <w:rPr>
          <w:rFonts w:ascii="Times New Roman" w:eastAsia="宋体" w:hAnsi="Times New Roman" w:cs="Times New Roman"/>
          <w:b/>
          <w:bCs/>
          <w:sz w:val="24"/>
          <w:szCs w:val="24"/>
        </w:rPr>
      </w:pPr>
      <w:r>
        <w:rPr>
          <w:rFonts w:ascii="Times New Roman" w:eastAsia="宋体" w:hAnsi="Times New Roman" w:cs="Times New Roman"/>
          <w:b/>
          <w:bCs/>
          <w:sz w:val="24"/>
          <w:szCs w:val="24"/>
        </w:rPr>
        <w:t>（</w:t>
      </w:r>
      <w:r>
        <w:rPr>
          <w:rFonts w:ascii="Times New Roman" w:eastAsia="宋体" w:hAnsi="Times New Roman" w:cs="Times New Roman"/>
          <w:b/>
          <w:bCs/>
          <w:sz w:val="24"/>
          <w:szCs w:val="24"/>
        </w:rPr>
        <w:t>3</w:t>
      </w:r>
      <w:r>
        <w:rPr>
          <w:rFonts w:ascii="Times New Roman" w:eastAsia="宋体" w:hAnsi="Times New Roman" w:cs="Times New Roman"/>
          <w:b/>
          <w:bCs/>
          <w:sz w:val="24"/>
          <w:szCs w:val="24"/>
        </w:rPr>
        <w:t>）</w:t>
      </w:r>
      <w:r>
        <w:rPr>
          <w:rFonts w:ascii="Times New Roman" w:eastAsia="宋体" w:hAnsi="Times New Roman" w:cs="Times New Roman" w:hint="eastAsia"/>
          <w:b/>
          <w:bCs/>
          <w:sz w:val="24"/>
          <w:szCs w:val="24"/>
        </w:rPr>
        <w:t>空箱堆存积压问题</w:t>
      </w:r>
    </w:p>
    <w:p w14:paraId="3BFF4CF2"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除了</w:t>
      </w:r>
      <w:proofErr w:type="gramStart"/>
      <w:r>
        <w:rPr>
          <w:rFonts w:ascii="Times New Roman" w:eastAsia="宋体" w:hAnsi="Times New Roman" w:cs="Times New Roman"/>
          <w:sz w:val="24"/>
          <w:szCs w:val="24"/>
        </w:rPr>
        <w:t>货船返空现象</w:t>
      </w:r>
      <w:proofErr w:type="gramEnd"/>
      <w:r>
        <w:rPr>
          <w:rFonts w:ascii="Times New Roman" w:eastAsia="宋体" w:hAnsi="Times New Roman" w:cs="Times New Roman"/>
          <w:sz w:val="24"/>
          <w:szCs w:val="24"/>
        </w:rPr>
        <w:t>，集装箱堆场中还存在大量空箱堆存，有的空箱甚至会堆存半年之久。一方面既浪费了堆场空间又造成了大量集装箱闲置，另一方面也给集装箱堆场码头翻箱作业带来了很多困难。</w:t>
      </w:r>
      <w:r>
        <w:rPr>
          <w:rFonts w:ascii="Times New Roman" w:eastAsia="宋体" w:hAnsi="Times New Roman" w:cs="Times New Roman" w:hint="eastAsia"/>
          <w:sz w:val="24"/>
          <w:szCs w:val="24"/>
        </w:rPr>
        <w:t>如何</w:t>
      </w:r>
      <w:r>
        <w:rPr>
          <w:rFonts w:ascii="Times New Roman" w:eastAsia="宋体" w:hAnsi="Times New Roman" w:cs="Times New Roman"/>
          <w:sz w:val="24"/>
          <w:szCs w:val="24"/>
        </w:rPr>
        <w:t>减少现场空箱堆场积压，是港口面临的现实问题</w:t>
      </w:r>
      <w:r>
        <w:rPr>
          <w:rFonts w:ascii="Times New Roman" w:eastAsia="宋体" w:hAnsi="Times New Roman" w:cs="Times New Roman" w:hint="eastAsia"/>
          <w:sz w:val="24"/>
          <w:szCs w:val="24"/>
        </w:rPr>
        <w:t>？近来，有研究提出可折叠集装箱的构想，</w:t>
      </w:r>
      <w:proofErr w:type="gramStart"/>
      <w:r>
        <w:rPr>
          <w:rFonts w:ascii="Times New Roman" w:eastAsia="宋体" w:hAnsi="Times New Roman" w:cs="Times New Roman" w:hint="eastAsia"/>
          <w:sz w:val="24"/>
          <w:szCs w:val="24"/>
        </w:rPr>
        <w:t>请探索该</w:t>
      </w:r>
      <w:proofErr w:type="gramEnd"/>
      <w:r>
        <w:rPr>
          <w:rFonts w:ascii="Times New Roman" w:eastAsia="宋体" w:hAnsi="Times New Roman" w:cs="Times New Roman" w:hint="eastAsia"/>
          <w:sz w:val="24"/>
          <w:szCs w:val="24"/>
        </w:rPr>
        <w:t>构想实现的可能性。</w:t>
      </w:r>
    </w:p>
    <w:p w14:paraId="4C37A539" w14:textId="77777777" w:rsidR="00CC512B" w:rsidRDefault="00000000">
      <w:pPr>
        <w:pStyle w:val="2"/>
        <w:rPr>
          <w:rFonts w:ascii="Times New Roman" w:hAnsi="Times New Roman" w:cs="Times New Roman"/>
        </w:rPr>
      </w:pPr>
      <w:bookmarkStart w:id="13" w:name="_Toc144363206"/>
      <w:r>
        <w:rPr>
          <w:rFonts w:ascii="Times New Roman" w:hAnsi="Times New Roman" w:cs="Times New Roman"/>
        </w:rPr>
        <w:t>2.2</w:t>
      </w:r>
      <w:r>
        <w:rPr>
          <w:rFonts w:hint="eastAsia"/>
        </w:rPr>
        <w:t>长江上游航运中心航运产业集群发展问题</w:t>
      </w:r>
      <w:bookmarkEnd w:id="13"/>
    </w:p>
    <w:p w14:paraId="0DCA5639" w14:textId="77777777" w:rsidR="00CC512B" w:rsidRDefault="00000000">
      <w:pPr>
        <w:pStyle w:val="3"/>
        <w:rPr>
          <w:rFonts w:ascii="Times New Roman" w:eastAsia="宋体" w:hAnsi="Times New Roman" w:cs="Times New Roman"/>
          <w:sz w:val="24"/>
          <w:szCs w:val="24"/>
        </w:rPr>
      </w:pPr>
      <w:bookmarkStart w:id="14" w:name="_Toc144363207"/>
      <w:r>
        <w:rPr>
          <w:rFonts w:ascii="Times New Roman" w:hAnsi="Times New Roman" w:cs="Times New Roman"/>
        </w:rPr>
        <w:t xml:space="preserve">2.2.1 </w:t>
      </w:r>
      <w:r>
        <w:rPr>
          <w:rFonts w:ascii="Times New Roman" w:hAnsi="Times New Roman" w:cs="Times New Roman"/>
        </w:rPr>
        <w:t>背景</w:t>
      </w:r>
      <w:bookmarkEnd w:id="14"/>
    </w:p>
    <w:p w14:paraId="265A8C5F" w14:textId="77777777" w:rsidR="00CC512B"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2022</w:t>
      </w:r>
      <w:r>
        <w:rPr>
          <w:rFonts w:ascii="Times New Roman" w:eastAsia="宋体" w:hAnsi="Times New Roman" w:cs="Times New Roman" w:hint="eastAsia"/>
          <w:sz w:val="24"/>
        </w:rPr>
        <w:t>年</w:t>
      </w:r>
      <w:r>
        <w:rPr>
          <w:rFonts w:ascii="Times New Roman" w:eastAsia="宋体" w:hAnsi="Times New Roman" w:cs="Times New Roman" w:hint="eastAsia"/>
          <w:sz w:val="24"/>
        </w:rPr>
        <w:t>7</w:t>
      </w:r>
      <w:r>
        <w:rPr>
          <w:rFonts w:ascii="Times New Roman" w:eastAsia="宋体" w:hAnsi="Times New Roman" w:cs="Times New Roman" w:hint="eastAsia"/>
          <w:sz w:val="24"/>
        </w:rPr>
        <w:t>月</w:t>
      </w:r>
      <w:r>
        <w:rPr>
          <w:rFonts w:ascii="Times New Roman" w:eastAsia="宋体" w:hAnsi="Times New Roman" w:cs="Times New Roman" w:hint="eastAsia"/>
          <w:sz w:val="24"/>
        </w:rPr>
        <w:t>28</w:t>
      </w:r>
      <w:r>
        <w:rPr>
          <w:rFonts w:ascii="Times New Roman" w:eastAsia="宋体" w:hAnsi="Times New Roman" w:cs="Times New Roman" w:hint="eastAsia"/>
          <w:sz w:val="24"/>
        </w:rPr>
        <w:t>日，重庆市人民政府办公厅、四川省人民政府办公厅印发了《共建长江上游航运中心实施方案》（以下简称《方案》），《方案》提出，按照“紧扣国家战略、彰显上游特色、示范引领带动”的总体思路，加快建设以长江干线为主通道、重要支流为骨架的航道网络，打造分工协作、结构合理、功能完善的港口集群，形成以重庆长江上游航运中心为核心，以泸州港、</w:t>
      </w:r>
      <w:proofErr w:type="gramStart"/>
      <w:r>
        <w:rPr>
          <w:rFonts w:ascii="Times New Roman" w:eastAsia="宋体" w:hAnsi="Times New Roman" w:cs="Times New Roman" w:hint="eastAsia"/>
          <w:sz w:val="24"/>
        </w:rPr>
        <w:t>宜宾港</w:t>
      </w:r>
      <w:proofErr w:type="gramEnd"/>
      <w:r>
        <w:rPr>
          <w:rFonts w:ascii="Times New Roman" w:eastAsia="宋体" w:hAnsi="Times New Roman" w:cs="Times New Roman" w:hint="eastAsia"/>
          <w:sz w:val="24"/>
        </w:rPr>
        <w:t>等为骨干，其他港口共同发展的总体格局，构建要素集聚、功能完善的港航服务体系。到</w:t>
      </w:r>
      <w:r>
        <w:rPr>
          <w:rFonts w:ascii="Times New Roman" w:eastAsia="宋体" w:hAnsi="Times New Roman" w:cs="Times New Roman" w:hint="eastAsia"/>
          <w:sz w:val="24"/>
        </w:rPr>
        <w:t>2025</w:t>
      </w:r>
      <w:r>
        <w:rPr>
          <w:rFonts w:ascii="Times New Roman" w:eastAsia="宋体" w:hAnsi="Times New Roman" w:cs="Times New Roman" w:hint="eastAsia"/>
          <w:sz w:val="24"/>
        </w:rPr>
        <w:t>年，基本建成航运产业要素聚集、航运服务功能健全、航运市场繁荣规范、具有国际和区域航运资源配置能力的长江上游航运中心，成为“一带一路”、长江经济带、西部陆海新通道联动发展的战略性枢纽。</w:t>
      </w:r>
    </w:p>
    <w:p w14:paraId="7AC7CCCF" w14:textId="77777777" w:rsidR="00CC512B"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港航服务体系的构建为促进航运产业集群提供了基础，可以加强区域内的产业联系和企业互信，促进了企业间的知识溢出和本地专业劳动力池的形成，降低了企业交易成本，是港口城市推动产业建设和发展区域经济的重要工具。早在</w:t>
      </w:r>
      <w:r>
        <w:rPr>
          <w:rFonts w:ascii="Times New Roman" w:eastAsia="宋体" w:hAnsi="Times New Roman" w:cs="Times New Roman" w:hint="eastAsia"/>
          <w:sz w:val="24"/>
        </w:rPr>
        <w:t>1996</w:t>
      </w:r>
      <w:r>
        <w:rPr>
          <w:rFonts w:ascii="Times New Roman" w:eastAsia="宋体" w:hAnsi="Times New Roman" w:cs="Times New Roman" w:hint="eastAsia"/>
          <w:sz w:val="24"/>
        </w:rPr>
        <w:t>年，上海市提出建设上海国际航运中心，并且将建设航运服务集聚区作为上海国际航运中心建设的重点项目，力求通过集聚航运服务产业以大力推动上海航运服务业发展和能级提升。随后，大连、天津、舟山等港口城市纷纷</w:t>
      </w:r>
      <w:r>
        <w:rPr>
          <w:rFonts w:ascii="Times New Roman" w:eastAsia="宋体" w:hAnsi="Times New Roman" w:cs="Times New Roman" w:hint="eastAsia"/>
          <w:sz w:val="24"/>
        </w:rPr>
        <w:lastRenderedPageBreak/>
        <w:t>开展航运产业集群建设。截至目前，上海己</w:t>
      </w:r>
      <w:proofErr w:type="gramStart"/>
      <w:r>
        <w:rPr>
          <w:rFonts w:ascii="Times New Roman" w:eastAsia="宋体" w:hAnsi="Times New Roman" w:cs="Times New Roman" w:hint="eastAsia"/>
          <w:sz w:val="24"/>
        </w:rPr>
        <w:t>经建成</w:t>
      </w:r>
      <w:proofErr w:type="gramEnd"/>
      <w:r>
        <w:rPr>
          <w:rFonts w:ascii="Times New Roman" w:eastAsia="宋体" w:hAnsi="Times New Roman" w:cs="Times New Roman" w:hint="eastAsia"/>
          <w:sz w:val="24"/>
        </w:rPr>
        <w:t>七大航运服务产业集聚区</w:t>
      </w:r>
      <w:r>
        <w:rPr>
          <w:rFonts w:ascii="Times New Roman" w:eastAsia="宋体" w:hAnsi="Times New Roman" w:cs="Times New Roman" w:hint="eastAsia"/>
          <w:sz w:val="24"/>
        </w:rPr>
        <w:t>(</w:t>
      </w:r>
      <w:r>
        <w:rPr>
          <w:rFonts w:ascii="Times New Roman" w:eastAsia="宋体" w:hAnsi="Times New Roman" w:cs="Times New Roman" w:hint="eastAsia"/>
          <w:sz w:val="24"/>
        </w:rPr>
        <w:t>北外滩、陆家嘴一洋径、洋山一临港、外高桥、吴淞口、虹桥、浦东机场</w:t>
      </w:r>
      <w:r>
        <w:rPr>
          <w:rFonts w:ascii="Times New Roman" w:eastAsia="宋体" w:hAnsi="Times New Roman" w:cs="Times New Roman" w:hint="eastAsia"/>
          <w:sz w:val="24"/>
        </w:rPr>
        <w:t>)</w:t>
      </w:r>
      <w:r>
        <w:rPr>
          <w:rFonts w:ascii="Times New Roman" w:eastAsia="宋体" w:hAnsi="Times New Roman" w:cs="Times New Roman" w:hint="eastAsia"/>
          <w:sz w:val="24"/>
        </w:rPr>
        <w:t>，基本实现航运</w:t>
      </w:r>
      <w:proofErr w:type="gramStart"/>
      <w:r>
        <w:rPr>
          <w:rFonts w:ascii="Times New Roman" w:eastAsia="宋体" w:hAnsi="Times New Roman" w:cs="Times New Roman" w:hint="eastAsia"/>
          <w:sz w:val="24"/>
        </w:rPr>
        <w:t>产业链全覆盖</w:t>
      </w:r>
      <w:proofErr w:type="gramEnd"/>
      <w:r>
        <w:rPr>
          <w:rFonts w:ascii="Times New Roman" w:eastAsia="宋体" w:hAnsi="Times New Roman" w:cs="Times New Roman" w:hint="eastAsia"/>
          <w:sz w:val="24"/>
        </w:rPr>
        <w:t>。从上海港等航运产业集群发展经验来看，枢纽港建设和向价值链高端延伸无疑成为我国航运产业集群发展的重点方向。伦敦、新加坡和香港是航运产业集群发展的典型代表，</w:t>
      </w:r>
      <w:r>
        <w:rPr>
          <w:rFonts w:ascii="Times New Roman" w:eastAsia="宋体" w:hAnsi="Times New Roman" w:cs="Times New Roman" w:hint="eastAsia"/>
          <w:sz w:val="24"/>
        </w:rPr>
        <w:t>20</w:t>
      </w:r>
      <w:r>
        <w:rPr>
          <w:rFonts w:ascii="Times New Roman" w:eastAsia="宋体" w:hAnsi="Times New Roman" w:cs="Times New Roman" w:hint="eastAsia"/>
          <w:sz w:val="24"/>
        </w:rPr>
        <w:t>世纪</w:t>
      </w:r>
      <w:r>
        <w:rPr>
          <w:rFonts w:ascii="Times New Roman" w:eastAsia="宋体" w:hAnsi="Times New Roman" w:cs="Times New Roman" w:hint="eastAsia"/>
          <w:sz w:val="24"/>
        </w:rPr>
        <w:t>40</w:t>
      </w:r>
      <w:r>
        <w:rPr>
          <w:rFonts w:ascii="Times New Roman" w:eastAsia="宋体" w:hAnsi="Times New Roman" w:cs="Times New Roman" w:hint="eastAsia"/>
          <w:sz w:val="24"/>
        </w:rPr>
        <w:t>年代，伦敦将港口功能向外迁移，将发展航运融资、保险和仲裁等作为重点目标，建成了全球领先的知识性航运金融中心，但港口功能较弱。香港港口功能强大，但近年来香港特区政府逐渐取消对港口基础设施建设的投资，将资金投入到发展航运金融等航运商业服务中。新加坡凭借其优越的地理条件是为数不多的港口业和现代航运服务业均处于领先地位的港口城市。而重庆港、宜宾港、</w:t>
      </w:r>
      <w:proofErr w:type="gramStart"/>
      <w:r>
        <w:rPr>
          <w:rFonts w:ascii="Times New Roman" w:eastAsia="宋体" w:hAnsi="Times New Roman" w:cs="Times New Roman" w:hint="eastAsia"/>
          <w:sz w:val="24"/>
        </w:rPr>
        <w:t>泸州港</w:t>
      </w:r>
      <w:proofErr w:type="gramEnd"/>
      <w:r>
        <w:rPr>
          <w:rFonts w:ascii="Times New Roman" w:eastAsia="宋体" w:hAnsi="Times New Roman" w:cs="Times New Roman" w:hint="eastAsia"/>
          <w:sz w:val="24"/>
        </w:rPr>
        <w:t>等港口可提供基础航运服务功能，高附加值航运服务产业较少涉及。</w:t>
      </w:r>
    </w:p>
    <w:p w14:paraId="5E091928" w14:textId="77777777" w:rsidR="00CC512B"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方案》提出要积极推进长江干线重要港口协同运营，研究港口码头所有权和经营权分离，推进大型公用港口统筹运营，推动川渝港口企业联盟发展，加快港口资源整合利用；深化川渝合作，共建长江上游航运枢纽。加强港口分工协作，以川渝合资合作共建万州新田港二期工程为契机，组建长江上游港口联盟，推进川渝港口企业交叉持股，提升区域港口码头管理运营一体化水平……</w:t>
      </w:r>
    </w:p>
    <w:p w14:paraId="1E170C65" w14:textId="77777777" w:rsidR="00CC512B" w:rsidRDefault="00000000">
      <w:pPr>
        <w:keepNext/>
        <w:keepLines/>
        <w:spacing w:before="260" w:after="260" w:line="416" w:lineRule="auto"/>
        <w:ind w:firstLineChars="200" w:firstLine="562"/>
        <w:outlineLvl w:val="2"/>
        <w:rPr>
          <w:rFonts w:ascii="Times New Roman" w:eastAsia="宋体" w:hAnsi="Times New Roman" w:cs="Times New Roman"/>
          <w:b/>
          <w:bCs/>
          <w:sz w:val="28"/>
          <w:szCs w:val="32"/>
        </w:rPr>
      </w:pPr>
      <w:bookmarkStart w:id="15" w:name="_Toc144363208"/>
      <w:r>
        <w:rPr>
          <w:rFonts w:ascii="Times New Roman" w:eastAsia="宋体" w:hAnsi="Times New Roman" w:cs="Times New Roman"/>
          <w:b/>
          <w:bCs/>
          <w:sz w:val="28"/>
          <w:szCs w:val="32"/>
        </w:rPr>
        <w:t xml:space="preserve">2.2.2 </w:t>
      </w:r>
      <w:r>
        <w:rPr>
          <w:rFonts w:ascii="Times New Roman" w:eastAsia="宋体" w:hAnsi="Times New Roman" w:cs="Times New Roman" w:hint="eastAsia"/>
          <w:b/>
          <w:bCs/>
          <w:sz w:val="28"/>
          <w:szCs w:val="32"/>
        </w:rPr>
        <w:t>问题</w:t>
      </w:r>
      <w:bookmarkEnd w:id="15"/>
    </w:p>
    <w:p w14:paraId="754331A4" w14:textId="77777777" w:rsidR="00CC512B" w:rsidRDefault="00000000">
      <w:pPr>
        <w:pStyle w:val="12"/>
        <w:ind w:firstLine="482"/>
        <w:rPr>
          <w:b/>
          <w:bCs/>
        </w:rPr>
      </w:pPr>
      <w:r>
        <w:rPr>
          <w:rFonts w:hint="eastAsia"/>
          <w:b/>
          <w:bCs/>
        </w:rPr>
        <w:t>（</w:t>
      </w:r>
      <w:r>
        <w:rPr>
          <w:rFonts w:hint="eastAsia"/>
          <w:b/>
          <w:bCs/>
        </w:rPr>
        <w:t>1</w:t>
      </w:r>
      <w:r>
        <w:rPr>
          <w:rFonts w:hint="eastAsia"/>
          <w:b/>
          <w:bCs/>
        </w:rPr>
        <w:t>）航运产业要素集聚问题</w:t>
      </w:r>
    </w:p>
    <w:p w14:paraId="2DD44E33" w14:textId="77777777" w:rsidR="00CC512B"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长江上游航运中心作为内陆港口群为支持的航运中心，与上海、伦敦、新加坡等沿海港口型航运中心在产业集群发展中可能存在一定的差异。该如何发挥重庆、泸州、宜宾产业特色，来推动实现航运产业要素在长江上游航运中心实现聚集，最终实现集群发展呢？</w:t>
      </w:r>
    </w:p>
    <w:p w14:paraId="44C8CA7A" w14:textId="77777777" w:rsidR="00CC512B" w:rsidRDefault="00000000">
      <w:pPr>
        <w:pStyle w:val="12"/>
        <w:ind w:firstLine="482"/>
        <w:rPr>
          <w:b/>
          <w:bCs/>
        </w:rPr>
      </w:pPr>
      <w:r>
        <w:rPr>
          <w:rFonts w:hint="eastAsia"/>
          <w:b/>
          <w:bCs/>
        </w:rPr>
        <w:t>（</w:t>
      </w:r>
      <w:r>
        <w:rPr>
          <w:rFonts w:hint="eastAsia"/>
          <w:b/>
          <w:bCs/>
        </w:rPr>
        <w:t>2</w:t>
      </w:r>
      <w:r>
        <w:rPr>
          <w:rFonts w:hint="eastAsia"/>
          <w:b/>
          <w:bCs/>
        </w:rPr>
        <w:t>）港口间错位发展、合作共赢问题</w:t>
      </w:r>
    </w:p>
    <w:p w14:paraId="660C7CE4" w14:textId="77777777" w:rsidR="00CC512B" w:rsidRDefault="00000000">
      <w:pPr>
        <w:spacing w:line="360" w:lineRule="auto"/>
        <w:ind w:firstLineChars="200" w:firstLine="480"/>
        <w:rPr>
          <w:rFonts w:ascii="Times New Roman" w:eastAsia="宋体" w:hAnsi="Times New Roman" w:cs="Times New Roman"/>
          <w:sz w:val="24"/>
        </w:rPr>
      </w:pPr>
      <w:r>
        <w:rPr>
          <w:rFonts w:ascii="Times New Roman" w:eastAsia="宋体" w:hAnsi="Times New Roman" w:cs="Times New Roman" w:hint="eastAsia"/>
          <w:sz w:val="24"/>
        </w:rPr>
        <w:t>《方案》明确了“形成以重庆长江上游航运中心为核心，以泸州港、宜宾港等为骨干……”，但各港口间多年来因距离相近、腹地货运重叠等原因，同质化竞争较为严重。统筹考虑各港口间区位关系、腹地产业等情况，该如何制定行而有效的发展策略，实现港口之间形成错位发展、合作共赢的联盟关系，还</w:t>
      </w:r>
      <w:r>
        <w:rPr>
          <w:rFonts w:ascii="Times New Roman" w:eastAsia="宋体" w:hAnsi="Times New Roman" w:cs="Times New Roman" w:hint="eastAsia"/>
          <w:sz w:val="24"/>
        </w:rPr>
        <w:lastRenderedPageBreak/>
        <w:t>需要从理论指导和实践经验中去寻找答案。</w:t>
      </w:r>
      <w:r>
        <w:rPr>
          <w:rFonts w:ascii="Times New Roman" w:eastAsia="黑体" w:hAnsi="Times New Roman" w:cs="Times New Roman"/>
          <w:b/>
          <w:sz w:val="36"/>
        </w:rPr>
        <w:br w:type="page"/>
      </w:r>
    </w:p>
    <w:p w14:paraId="0820171D" w14:textId="77777777" w:rsidR="00CC512B" w:rsidRDefault="00000000">
      <w:pPr>
        <w:pStyle w:val="1"/>
        <w:rPr>
          <w:rFonts w:ascii="Times New Roman" w:hAnsi="Times New Roman" w:cs="Times New Roman"/>
        </w:rPr>
      </w:pPr>
      <w:bookmarkStart w:id="16" w:name="_Toc144363209"/>
      <w:r>
        <w:rPr>
          <w:rFonts w:ascii="Times New Roman" w:hAnsi="Times New Roman" w:cs="Times New Roman"/>
        </w:rPr>
        <w:lastRenderedPageBreak/>
        <w:t>案例</w:t>
      </w:r>
      <w:r>
        <w:rPr>
          <w:rFonts w:ascii="Times New Roman" w:hAnsi="Times New Roman" w:cs="Times New Roman"/>
        </w:rPr>
        <w:t>3 A</w:t>
      </w:r>
      <w:r>
        <w:rPr>
          <w:rFonts w:ascii="Times New Roman" w:hAnsi="Times New Roman" w:cs="Times New Roman"/>
        </w:rPr>
        <w:t>公司</w:t>
      </w:r>
      <w:r>
        <w:rPr>
          <w:rFonts w:ascii="Times New Roman" w:hAnsi="Times New Roman" w:cs="Times New Roman" w:hint="eastAsia"/>
        </w:rPr>
        <w:t>供应链</w:t>
      </w:r>
      <w:r>
        <w:rPr>
          <w:rFonts w:ascii="Times New Roman" w:hAnsi="Times New Roman" w:cs="Times New Roman"/>
        </w:rPr>
        <w:t>优化升级</w:t>
      </w:r>
      <w:r>
        <w:rPr>
          <w:rFonts w:ascii="Times New Roman" w:hAnsi="Times New Roman" w:cs="Times New Roman" w:hint="eastAsia"/>
        </w:rPr>
        <w:t>之路</w:t>
      </w:r>
      <w:bookmarkEnd w:id="16"/>
    </w:p>
    <w:p w14:paraId="522376AC" w14:textId="77777777" w:rsidR="00CC512B" w:rsidRDefault="00000000">
      <w:pPr>
        <w:pStyle w:val="a0"/>
        <w:ind w:firstLine="480"/>
      </w:pPr>
      <w:r>
        <w:t>汽车产业是中国经济的支柱型产业之一，它为中国经济的发展起到了至关重要的作用。</w:t>
      </w:r>
      <w:r>
        <w:rPr>
          <w:rFonts w:hint="eastAsia"/>
        </w:rPr>
        <w:t>作为制造企业的典型代表，宜宾</w:t>
      </w:r>
      <w:r>
        <w:t>A</w:t>
      </w:r>
      <w:r>
        <w:t>汽车</w:t>
      </w:r>
      <w:r>
        <w:rPr>
          <w:rFonts w:hint="eastAsia"/>
        </w:rPr>
        <w:t>公司也存在较多物流问题尚待解决。</w:t>
      </w:r>
      <w:r>
        <w:rPr>
          <w:rFonts w:hint="eastAsia"/>
        </w:rPr>
        <w:t xml:space="preserve"> </w:t>
      </w:r>
    </w:p>
    <w:p w14:paraId="358C74BC" w14:textId="77777777" w:rsidR="00CC512B" w:rsidRDefault="00000000">
      <w:pPr>
        <w:pStyle w:val="2"/>
        <w:rPr>
          <w:rFonts w:ascii="Times New Roman" w:hAnsi="Times New Roman" w:cs="Times New Roman"/>
        </w:rPr>
      </w:pPr>
      <w:bookmarkStart w:id="17" w:name="_Toc144363210"/>
      <w:r>
        <w:rPr>
          <w:rFonts w:ascii="Times New Roman" w:hAnsi="Times New Roman" w:cs="Times New Roman"/>
        </w:rPr>
        <w:t>3.1</w:t>
      </w:r>
      <w:r>
        <w:rPr>
          <w:rFonts w:ascii="Times New Roman" w:hAnsi="Times New Roman" w:cs="Times New Roman"/>
        </w:rPr>
        <w:t>产销平衡问题</w:t>
      </w:r>
      <w:bookmarkEnd w:id="17"/>
    </w:p>
    <w:p w14:paraId="68671860" w14:textId="77777777" w:rsidR="00CC512B" w:rsidRDefault="00000000">
      <w:pPr>
        <w:pStyle w:val="3"/>
        <w:rPr>
          <w:rFonts w:ascii="Times New Roman" w:eastAsia="宋体" w:hAnsi="Times New Roman" w:cs="Times New Roman"/>
          <w:sz w:val="24"/>
          <w:szCs w:val="24"/>
        </w:rPr>
      </w:pPr>
      <w:bookmarkStart w:id="18" w:name="_Toc144363211"/>
      <w:r>
        <w:rPr>
          <w:rFonts w:ascii="Times New Roman" w:hAnsi="Times New Roman" w:cs="Times New Roman"/>
        </w:rPr>
        <w:t xml:space="preserve">3.1.1 </w:t>
      </w:r>
      <w:r>
        <w:rPr>
          <w:rFonts w:ascii="Times New Roman" w:hAnsi="Times New Roman" w:cs="Times New Roman"/>
        </w:rPr>
        <w:t>背景</w:t>
      </w:r>
      <w:bookmarkEnd w:id="18"/>
    </w:p>
    <w:p w14:paraId="561F1109"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公司经过近</w:t>
      </w:r>
      <w:r>
        <w:rPr>
          <w:rFonts w:ascii="Times New Roman" w:eastAsia="宋体" w:hAnsi="Times New Roman" w:cs="Times New Roman" w:hint="eastAsia"/>
          <w:sz w:val="24"/>
          <w:szCs w:val="24"/>
        </w:rPr>
        <w:t>些</w:t>
      </w:r>
      <w:r>
        <w:rPr>
          <w:rFonts w:ascii="Times New Roman" w:eastAsia="宋体" w:hAnsi="Times New Roman" w:cs="Times New Roman"/>
          <w:sz w:val="24"/>
          <w:szCs w:val="24"/>
        </w:rPr>
        <w:t>年的发展和运营，在汽车生产和销售业务领域形已形成了相对成熟的管理模式，已经建立了销售计划、生产计划的管理体系。但在实际运作过程中，由于各种原因，还是会有一定的需求与交付的差额，如在某月，客户需求量为</w:t>
      </w:r>
      <w:r>
        <w:rPr>
          <w:rFonts w:ascii="Times New Roman" w:eastAsia="宋体" w:hAnsi="Times New Roman" w:cs="Times New Roman"/>
          <w:sz w:val="24"/>
          <w:szCs w:val="24"/>
        </w:rPr>
        <w:t>20000</w:t>
      </w:r>
      <w:r>
        <w:rPr>
          <w:rFonts w:ascii="Times New Roman" w:eastAsia="宋体" w:hAnsi="Times New Roman" w:cs="Times New Roman"/>
          <w:sz w:val="24"/>
          <w:szCs w:val="24"/>
        </w:rPr>
        <w:t>多台，但实际只交付了</w:t>
      </w:r>
      <w:r>
        <w:rPr>
          <w:rFonts w:ascii="Times New Roman" w:eastAsia="宋体" w:hAnsi="Times New Roman" w:cs="Times New Roman"/>
          <w:sz w:val="24"/>
          <w:szCs w:val="24"/>
        </w:rPr>
        <w:t>18000</w:t>
      </w:r>
      <w:r>
        <w:rPr>
          <w:rFonts w:ascii="Times New Roman" w:eastAsia="宋体" w:hAnsi="Times New Roman" w:cs="Times New Roman" w:hint="eastAsia"/>
          <w:sz w:val="24"/>
          <w:szCs w:val="24"/>
        </w:rPr>
        <w:t>台</w:t>
      </w:r>
      <w:r>
        <w:rPr>
          <w:rFonts w:ascii="Times New Roman" w:eastAsia="宋体" w:hAnsi="Times New Roman" w:cs="Times New Roman"/>
          <w:sz w:val="24"/>
          <w:szCs w:val="24"/>
        </w:rPr>
        <w:t>左右。这其中的主要原因，可能是在公司的整体运营上，没有很好的将销售计划、生产计划的管理有机结合在一起，导致各环节没有实现业务的高效衔接。</w:t>
      </w:r>
    </w:p>
    <w:p w14:paraId="00DD7145"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公司在进行生产计划制定的过程中，需要以销定产，因此，需要提前预测销售需求，以此安排生产计划。但在实际预测过程中，</w:t>
      </w:r>
      <w:r>
        <w:rPr>
          <w:rFonts w:ascii="Times New Roman" w:eastAsia="宋体" w:hAnsi="Times New Roman" w:cs="Times New Roman" w:hint="eastAsia"/>
          <w:sz w:val="24"/>
          <w:szCs w:val="24"/>
        </w:rPr>
        <w:t>A</w:t>
      </w:r>
      <w:r>
        <w:rPr>
          <w:rFonts w:ascii="Times New Roman" w:eastAsia="宋体" w:hAnsi="Times New Roman" w:cs="Times New Roman"/>
          <w:sz w:val="24"/>
          <w:szCs w:val="24"/>
        </w:rPr>
        <w:t>公司销售计划只是通过国内和国外的经销商上报的数据来进行，并没有充分地结合历史销售情况、当前市场形势及商务政策、未来产品更新节奏等影响因素，从而形成更为精确的预测。</w:t>
      </w:r>
    </w:p>
    <w:p w14:paraId="4A4F263A"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另外，生产计划确认及目标下达时间较晚，确认月度滚动生产计划的工作需要每月下旬才能完成，这样留下的时间极其短暂，较难支撑各项生产准备（如备料）活动及时有序地开展。</w:t>
      </w:r>
      <w:r>
        <w:rPr>
          <w:rFonts w:ascii="Times New Roman" w:eastAsia="宋体" w:hAnsi="Times New Roman" w:cs="Times New Roman"/>
          <w:sz w:val="24"/>
          <w:szCs w:val="24"/>
          <w:lang w:eastAsia="zh-Hans"/>
        </w:rPr>
        <w:t>每一辆轿车生产所需零部件大概有</w:t>
      </w:r>
      <w:r>
        <w:rPr>
          <w:rFonts w:ascii="Times New Roman" w:eastAsia="宋体" w:hAnsi="Times New Roman" w:cs="Times New Roman"/>
          <w:sz w:val="24"/>
          <w:szCs w:val="24"/>
          <w:lang w:eastAsia="zh-Hans"/>
        </w:rPr>
        <w:t xml:space="preserve">1000 </w:t>
      </w:r>
      <w:r>
        <w:rPr>
          <w:rFonts w:ascii="Times New Roman" w:eastAsia="宋体" w:hAnsi="Times New Roman" w:cs="Times New Roman"/>
          <w:sz w:val="24"/>
          <w:szCs w:val="24"/>
          <w:lang w:eastAsia="zh-Hans"/>
        </w:rPr>
        <w:t>种以上，因此整车生产准备环节的管理工作是极其复杂的，其核心就在于物料采购及物流管理，即对于供应商的管理。而对供应商的管理，简单来说就是让其按计划执行，就是在计划的时间点把约定好的数量和质量的物料送到相应的地方，但这看似简单的管理要求，却是</w:t>
      </w:r>
      <w:r>
        <w:rPr>
          <w:rFonts w:ascii="Times New Roman" w:eastAsia="宋体" w:hAnsi="Times New Roman" w:cs="Times New Roman"/>
          <w:sz w:val="24"/>
          <w:szCs w:val="24"/>
        </w:rPr>
        <w:t>A</w:t>
      </w:r>
      <w:r>
        <w:rPr>
          <w:rFonts w:ascii="Times New Roman" w:eastAsia="宋体" w:hAnsi="Times New Roman" w:cs="Times New Roman"/>
          <w:sz w:val="24"/>
          <w:szCs w:val="24"/>
        </w:rPr>
        <w:t>公司</w:t>
      </w:r>
      <w:r>
        <w:rPr>
          <w:rFonts w:ascii="Times New Roman" w:eastAsia="宋体" w:hAnsi="Times New Roman" w:cs="Times New Roman"/>
          <w:sz w:val="24"/>
          <w:szCs w:val="24"/>
          <w:lang w:eastAsia="zh-Hans"/>
        </w:rPr>
        <w:t>面临的重大难题。即使计划完美，但遇到一些突发情况</w:t>
      </w:r>
      <w:r>
        <w:rPr>
          <w:rFonts w:ascii="Times New Roman" w:eastAsia="宋体" w:hAnsi="Times New Roman" w:cs="Times New Roman"/>
          <w:sz w:val="24"/>
          <w:szCs w:val="24"/>
        </w:rPr>
        <w:t>（如</w:t>
      </w:r>
      <w:r>
        <w:rPr>
          <w:rFonts w:ascii="Times New Roman" w:eastAsia="宋体" w:hAnsi="Times New Roman" w:cs="Times New Roman"/>
          <w:sz w:val="24"/>
          <w:szCs w:val="24"/>
        </w:rPr>
        <w:t>2022</w:t>
      </w:r>
      <w:r>
        <w:rPr>
          <w:rFonts w:ascii="Times New Roman" w:eastAsia="宋体" w:hAnsi="Times New Roman" w:cs="Times New Roman"/>
          <w:sz w:val="24"/>
          <w:szCs w:val="24"/>
        </w:rPr>
        <w:t>年夏天的断电、芯片荒等），也可能导致生产线的停工，进而影响车辆交付。</w:t>
      </w:r>
      <w:r>
        <w:rPr>
          <w:rFonts w:ascii="Times New Roman" w:eastAsia="宋体" w:hAnsi="Times New Roman" w:cs="Times New Roman" w:hint="eastAsia"/>
          <w:sz w:val="24"/>
          <w:szCs w:val="24"/>
        </w:rPr>
        <w:t>2</w:t>
      </w:r>
      <w:r>
        <w:rPr>
          <w:rFonts w:ascii="Times New Roman" w:eastAsia="宋体" w:hAnsi="Times New Roman" w:cs="Times New Roman"/>
          <w:sz w:val="24"/>
          <w:szCs w:val="24"/>
        </w:rPr>
        <w:t>020</w:t>
      </w:r>
      <w:r>
        <w:rPr>
          <w:rFonts w:ascii="Times New Roman" w:eastAsia="宋体" w:hAnsi="Times New Roman" w:cs="Times New Roman" w:hint="eastAsia"/>
          <w:sz w:val="24"/>
          <w:szCs w:val="24"/>
        </w:rPr>
        <w:t>-</w:t>
      </w:r>
      <w:r>
        <w:rPr>
          <w:rFonts w:ascii="Times New Roman" w:eastAsia="宋体" w:hAnsi="Times New Roman" w:cs="Times New Roman"/>
          <w:sz w:val="24"/>
          <w:szCs w:val="24"/>
        </w:rPr>
        <w:t>2022</w:t>
      </w:r>
      <w:r>
        <w:rPr>
          <w:rFonts w:ascii="Times New Roman" w:eastAsia="宋体" w:hAnsi="Times New Roman" w:cs="Times New Roman" w:hint="eastAsia"/>
          <w:sz w:val="24"/>
          <w:szCs w:val="24"/>
        </w:rPr>
        <w:t>年每月的实际需求和交付情况见附表</w:t>
      </w:r>
      <w:r>
        <w:rPr>
          <w:rFonts w:ascii="Times New Roman" w:eastAsia="宋体" w:hAnsi="Times New Roman" w:cs="Times New Roman" w:hint="eastAsia"/>
          <w:sz w:val="24"/>
          <w:szCs w:val="24"/>
        </w:rPr>
        <w:t>2</w:t>
      </w:r>
      <w:r>
        <w:rPr>
          <w:rFonts w:ascii="Times New Roman" w:eastAsia="宋体" w:hAnsi="Times New Roman" w:cs="Times New Roman" w:hint="eastAsia"/>
          <w:sz w:val="24"/>
          <w:szCs w:val="24"/>
        </w:rPr>
        <w:t>。</w:t>
      </w:r>
    </w:p>
    <w:p w14:paraId="597A67D2" w14:textId="77777777" w:rsidR="00CC512B" w:rsidRDefault="00000000">
      <w:pPr>
        <w:pStyle w:val="3"/>
        <w:rPr>
          <w:rFonts w:ascii="Times New Roman" w:hAnsi="Times New Roman" w:cs="Times New Roman"/>
        </w:rPr>
      </w:pPr>
      <w:bookmarkStart w:id="19" w:name="_Toc144363212"/>
      <w:r>
        <w:rPr>
          <w:rFonts w:ascii="Times New Roman" w:hAnsi="Times New Roman" w:cs="Times New Roman"/>
        </w:rPr>
        <w:lastRenderedPageBreak/>
        <w:t xml:space="preserve">3.1.2 </w:t>
      </w:r>
      <w:r>
        <w:rPr>
          <w:rFonts w:ascii="Times New Roman" w:hAnsi="Times New Roman" w:cs="Times New Roman"/>
        </w:rPr>
        <w:t>问题</w:t>
      </w:r>
      <w:bookmarkEnd w:id="19"/>
    </w:p>
    <w:p w14:paraId="47EDC60B" w14:textId="77777777" w:rsidR="00CC512B" w:rsidRDefault="00000000">
      <w:pPr>
        <w:spacing w:line="360" w:lineRule="auto"/>
        <w:ind w:firstLine="480"/>
        <w:rPr>
          <w:rFonts w:ascii="Times New Roman" w:eastAsia="宋体" w:hAnsi="Times New Roman" w:cs="Times New Roman"/>
          <w:b/>
          <w:bCs/>
          <w:sz w:val="24"/>
          <w:szCs w:val="24"/>
        </w:rPr>
      </w:pPr>
      <w:r>
        <w:rPr>
          <w:rFonts w:ascii="Times New Roman" w:eastAsia="宋体" w:hAnsi="Times New Roman" w:cs="Times New Roman"/>
          <w:b/>
          <w:bCs/>
          <w:sz w:val="24"/>
          <w:szCs w:val="24"/>
          <w:lang w:eastAsia="zh-Hans"/>
        </w:rPr>
        <w:t>（</w:t>
      </w:r>
      <w:r>
        <w:rPr>
          <w:rFonts w:ascii="Times New Roman" w:eastAsia="宋体" w:hAnsi="Times New Roman" w:cs="Times New Roman"/>
          <w:b/>
          <w:bCs/>
          <w:sz w:val="24"/>
          <w:szCs w:val="24"/>
        </w:rPr>
        <w:t>1</w:t>
      </w:r>
      <w:r>
        <w:rPr>
          <w:rFonts w:ascii="Times New Roman" w:eastAsia="宋体" w:hAnsi="Times New Roman" w:cs="Times New Roman"/>
          <w:b/>
          <w:bCs/>
          <w:sz w:val="24"/>
          <w:szCs w:val="24"/>
          <w:lang w:eastAsia="zh-Hans"/>
        </w:rPr>
        <w:t>）</w:t>
      </w:r>
      <w:r>
        <w:rPr>
          <w:rFonts w:ascii="Times New Roman" w:eastAsia="宋体" w:hAnsi="Times New Roman" w:cs="Times New Roman"/>
          <w:b/>
          <w:bCs/>
          <w:sz w:val="24"/>
          <w:szCs w:val="24"/>
        </w:rPr>
        <w:t>如何更加精确的动态</w:t>
      </w:r>
      <w:r>
        <w:rPr>
          <w:rFonts w:ascii="Times New Roman" w:eastAsia="宋体" w:hAnsi="Times New Roman" w:cs="Times New Roman" w:hint="eastAsia"/>
          <w:b/>
          <w:bCs/>
          <w:sz w:val="24"/>
          <w:szCs w:val="24"/>
        </w:rPr>
        <w:t>预测</w:t>
      </w:r>
      <w:r>
        <w:rPr>
          <w:rFonts w:ascii="Times New Roman" w:eastAsia="宋体" w:hAnsi="Times New Roman" w:cs="Times New Roman"/>
          <w:b/>
          <w:bCs/>
          <w:sz w:val="24"/>
          <w:szCs w:val="24"/>
        </w:rPr>
        <w:t>销售需求</w:t>
      </w:r>
      <w:r>
        <w:rPr>
          <w:rFonts w:ascii="Times New Roman" w:eastAsia="宋体" w:hAnsi="Times New Roman" w:cs="Times New Roman" w:hint="eastAsia"/>
          <w:b/>
          <w:bCs/>
          <w:sz w:val="24"/>
          <w:szCs w:val="24"/>
        </w:rPr>
        <w:t>，改进</w:t>
      </w:r>
      <w:r>
        <w:rPr>
          <w:rFonts w:ascii="Times New Roman" w:eastAsia="宋体" w:hAnsi="Times New Roman" w:cs="Times New Roman"/>
          <w:b/>
          <w:bCs/>
          <w:sz w:val="24"/>
          <w:szCs w:val="24"/>
        </w:rPr>
        <w:t>物料备货安排</w:t>
      </w:r>
      <w:r>
        <w:rPr>
          <w:rFonts w:ascii="Times New Roman" w:eastAsia="宋体" w:hAnsi="Times New Roman" w:cs="Times New Roman" w:hint="eastAsia"/>
          <w:b/>
          <w:bCs/>
          <w:sz w:val="24"/>
          <w:szCs w:val="24"/>
        </w:rPr>
        <w:t>的制定</w:t>
      </w:r>
      <w:r>
        <w:rPr>
          <w:rFonts w:ascii="Times New Roman" w:eastAsia="宋体" w:hAnsi="Times New Roman" w:cs="Times New Roman"/>
          <w:b/>
          <w:bCs/>
          <w:sz w:val="24"/>
          <w:szCs w:val="24"/>
        </w:rPr>
        <w:t>。</w:t>
      </w:r>
    </w:p>
    <w:p w14:paraId="07D37D46"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lang w:eastAsia="zh-Hans"/>
        </w:rPr>
        <w:t>目前，</w:t>
      </w:r>
      <w:r>
        <w:rPr>
          <w:rFonts w:ascii="Times New Roman" w:eastAsia="宋体" w:hAnsi="Times New Roman" w:cs="Times New Roman"/>
          <w:sz w:val="24"/>
          <w:szCs w:val="24"/>
          <w:lang w:eastAsia="zh-Hans"/>
        </w:rPr>
        <w:t>公司</w:t>
      </w:r>
      <w:r>
        <w:rPr>
          <w:rFonts w:ascii="Times New Roman" w:eastAsia="宋体" w:hAnsi="Times New Roman" w:cs="Times New Roman" w:hint="eastAsia"/>
          <w:sz w:val="24"/>
          <w:szCs w:val="24"/>
          <w:lang w:eastAsia="zh-Hans"/>
        </w:rPr>
        <w:t>主要</w:t>
      </w:r>
      <w:r>
        <w:rPr>
          <w:rFonts w:ascii="Times New Roman" w:eastAsia="宋体" w:hAnsi="Times New Roman" w:cs="Times New Roman"/>
          <w:sz w:val="24"/>
          <w:szCs w:val="24"/>
          <w:lang w:eastAsia="zh-Hans"/>
        </w:rPr>
        <w:t>通过国内外经销商提报的需求量，来进行生产计划安排，没有充分地结合历史销售情况、当前市场形势及商务政策、未来产品更新节奏等影响因素，从而形成更为精确的预测</w:t>
      </w:r>
      <w:r>
        <w:rPr>
          <w:rFonts w:ascii="Times New Roman" w:eastAsia="宋体" w:hAnsi="Times New Roman" w:cs="Times New Roman" w:hint="eastAsia"/>
          <w:sz w:val="24"/>
          <w:szCs w:val="24"/>
          <w:lang w:eastAsia="zh-Hans"/>
        </w:rPr>
        <w:t>。</w:t>
      </w:r>
      <w:r>
        <w:rPr>
          <w:rFonts w:ascii="Times New Roman" w:eastAsia="宋体" w:hAnsi="Times New Roman" w:cs="Times New Roman"/>
          <w:sz w:val="24"/>
          <w:szCs w:val="24"/>
          <w:lang w:eastAsia="zh-Hans"/>
        </w:rPr>
        <w:t>在一定程度上，会影响物料备货的安排，进而影响订单的交付。目前公司对物料备货的安排，包括对订单的物料分解等环节，均还采用手工方式进行。对于物料供应的管理，目前还未完全实现</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准时化</w:t>
      </w:r>
      <w:r>
        <w:rPr>
          <w:rFonts w:ascii="Times New Roman" w:eastAsia="宋体" w:hAnsi="Times New Roman" w:cs="Times New Roman"/>
          <w:sz w:val="24"/>
          <w:szCs w:val="24"/>
          <w:lang w:eastAsia="zh-Hans"/>
        </w:rPr>
        <w:t>”</w:t>
      </w:r>
      <w:r>
        <w:rPr>
          <w:rFonts w:ascii="Times New Roman" w:eastAsia="宋体" w:hAnsi="Times New Roman" w:cs="Times New Roman"/>
          <w:sz w:val="24"/>
          <w:szCs w:val="24"/>
          <w:lang w:eastAsia="zh-Hans"/>
        </w:rPr>
        <w:t>，即整车的生产、物流环节和供应商的生产、物流环节未完全实现全流程在统一的管理模式下，因此物料的物流体系需要进行响应改进。</w:t>
      </w:r>
    </w:p>
    <w:p w14:paraId="5779A1C6"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那么，如何更准确的进行销售预测，当销售订单发生变化时，备货安排如何快速响应，更进一步的，未来如何实现全流程的统一管理，成了公司生产管理过程的难点。如何解决这些问题，从而更好的确保产销平衡，提高客户满意度？</w:t>
      </w:r>
      <w:r>
        <w:rPr>
          <w:rFonts w:ascii="Times New Roman" w:eastAsia="宋体" w:hAnsi="Times New Roman" w:cs="Times New Roman"/>
          <w:sz w:val="24"/>
          <w:szCs w:val="24"/>
        </w:rPr>
        <w:t xml:space="preserve"> </w:t>
      </w:r>
    </w:p>
    <w:p w14:paraId="703FFD5F" w14:textId="77777777" w:rsidR="00CC512B" w:rsidRDefault="00000000">
      <w:pPr>
        <w:spacing w:line="360" w:lineRule="auto"/>
        <w:ind w:firstLine="480"/>
        <w:rPr>
          <w:rFonts w:ascii="Times New Roman" w:eastAsia="宋体" w:hAnsi="Times New Roman" w:cs="Times New Roman"/>
          <w:b/>
          <w:bCs/>
          <w:sz w:val="24"/>
          <w:szCs w:val="24"/>
          <w:lang w:eastAsia="zh-Hans"/>
        </w:rPr>
      </w:pPr>
      <w:r>
        <w:rPr>
          <w:rFonts w:ascii="Times New Roman" w:eastAsia="宋体" w:hAnsi="Times New Roman" w:cs="Times New Roman"/>
          <w:b/>
          <w:bCs/>
          <w:sz w:val="24"/>
          <w:szCs w:val="24"/>
        </w:rPr>
        <w:t>（</w:t>
      </w:r>
      <w:r>
        <w:rPr>
          <w:rFonts w:ascii="Times New Roman" w:eastAsia="宋体" w:hAnsi="Times New Roman" w:cs="Times New Roman"/>
          <w:b/>
          <w:bCs/>
          <w:sz w:val="24"/>
          <w:szCs w:val="24"/>
        </w:rPr>
        <w:t>2</w:t>
      </w:r>
      <w:r>
        <w:rPr>
          <w:rFonts w:ascii="Times New Roman" w:eastAsia="宋体" w:hAnsi="Times New Roman" w:cs="Times New Roman"/>
          <w:b/>
          <w:bCs/>
          <w:sz w:val="24"/>
          <w:szCs w:val="24"/>
        </w:rPr>
        <w:t>）供应商提前期不确定性问题的解决方案及由此带来的库存管理问题</w:t>
      </w:r>
      <w:r>
        <w:rPr>
          <w:rFonts w:ascii="Times New Roman" w:eastAsia="宋体" w:hAnsi="Times New Roman" w:cs="Times New Roman"/>
          <w:b/>
          <w:bCs/>
          <w:sz w:val="24"/>
          <w:szCs w:val="24"/>
          <w:lang w:eastAsia="zh-Hans"/>
        </w:rPr>
        <w:t>。</w:t>
      </w:r>
    </w:p>
    <w:p w14:paraId="61E81A8C"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lang w:eastAsia="zh-Hans"/>
        </w:rPr>
        <w:t>附表</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中显示了部分零部件库存及其供应商情况。</w:t>
      </w:r>
      <w:r>
        <w:rPr>
          <w:rFonts w:ascii="Times New Roman" w:eastAsia="宋体" w:hAnsi="Times New Roman" w:cs="Times New Roman"/>
          <w:sz w:val="24"/>
          <w:szCs w:val="24"/>
          <w:lang w:eastAsia="zh-Hans"/>
        </w:rPr>
        <w:t>在公司的实际管理过程中，若供应商未能如约到货，首先是盘存物流现场物料，确认物料可对应生产时间，同时沟通供应商或物流公司通知紧急送货（可采用紧急空运，次日达快递配送等方式），如仍不能满足，则升级采购进行重点跟进。</w:t>
      </w:r>
    </w:p>
    <w:p w14:paraId="204F6293" w14:textId="3A790942"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sz w:val="24"/>
          <w:szCs w:val="24"/>
          <w:lang w:eastAsia="zh-Hans"/>
        </w:rPr>
        <w:t>另外，为了避免因为原材料和零部件的供应不足导致交付的延迟，</w:t>
      </w:r>
      <w:r>
        <w:rPr>
          <w:rFonts w:ascii="Times New Roman" w:eastAsia="宋体" w:hAnsi="Times New Roman" w:cs="Times New Roman"/>
          <w:sz w:val="24"/>
          <w:szCs w:val="24"/>
        </w:rPr>
        <w:t>A</w:t>
      </w:r>
      <w:r>
        <w:rPr>
          <w:rFonts w:ascii="Times New Roman" w:eastAsia="宋体" w:hAnsi="Times New Roman" w:cs="Times New Roman"/>
          <w:sz w:val="24"/>
          <w:szCs w:val="24"/>
          <w:lang w:eastAsia="zh-Hans"/>
        </w:rPr>
        <w:t>公司通过对物料进行</w:t>
      </w:r>
      <w:r>
        <w:rPr>
          <w:rFonts w:ascii="Times New Roman" w:eastAsia="宋体" w:hAnsi="Times New Roman" w:cs="Times New Roman" w:hint="eastAsia"/>
          <w:sz w:val="24"/>
          <w:szCs w:val="24"/>
          <w:lang w:eastAsia="zh-Hans"/>
        </w:rPr>
        <w:t>建立适当库存</w:t>
      </w:r>
      <w:r>
        <w:rPr>
          <w:rFonts w:ascii="Times New Roman" w:eastAsia="宋体" w:hAnsi="Times New Roman" w:cs="Times New Roman"/>
          <w:sz w:val="24"/>
          <w:szCs w:val="24"/>
          <w:lang w:eastAsia="zh-Hans"/>
        </w:rPr>
        <w:t>的方式来应对需求的变动。这种方式在一定程度上可以保障生产和交付，但也对物料的库存管理带来一定的挑战</w:t>
      </w:r>
      <w:r>
        <w:rPr>
          <w:rFonts w:ascii="Times New Roman" w:eastAsia="宋体" w:hAnsi="Times New Roman" w:cs="Times New Roman" w:hint="eastAsia"/>
          <w:sz w:val="24"/>
          <w:szCs w:val="24"/>
          <w:lang w:eastAsia="zh-Hans"/>
        </w:rPr>
        <w:t>，在解决供应商提前期不确定方面是否有更好的解决办法呢？</w:t>
      </w:r>
      <w:r>
        <w:rPr>
          <w:rFonts w:ascii="Times New Roman" w:eastAsia="宋体" w:hAnsi="Times New Roman" w:cs="Times New Roman"/>
          <w:sz w:val="24"/>
          <w:szCs w:val="24"/>
        </w:rPr>
        <w:t>如果</w:t>
      </w:r>
      <w:r>
        <w:rPr>
          <w:rFonts w:ascii="Times New Roman" w:eastAsia="宋体" w:hAnsi="Times New Roman" w:cs="Times New Roman" w:hint="eastAsia"/>
          <w:sz w:val="24"/>
          <w:szCs w:val="24"/>
        </w:rPr>
        <w:t>建立适当的库存</w:t>
      </w:r>
      <w:r>
        <w:rPr>
          <w:rFonts w:ascii="Times New Roman" w:eastAsia="宋体" w:hAnsi="Times New Roman" w:cs="Times New Roman"/>
          <w:sz w:val="24"/>
          <w:szCs w:val="24"/>
        </w:rPr>
        <w:t>，应该如何进行物料管理和供应商管理？</w:t>
      </w:r>
    </w:p>
    <w:p w14:paraId="20856298" w14:textId="77777777" w:rsidR="00CC512B" w:rsidRDefault="00000000">
      <w:pPr>
        <w:pStyle w:val="2"/>
        <w:rPr>
          <w:rFonts w:ascii="Times New Roman" w:hAnsi="Times New Roman" w:cs="Times New Roman"/>
        </w:rPr>
      </w:pPr>
      <w:bookmarkStart w:id="20" w:name="_Toc144363213"/>
      <w:r>
        <w:rPr>
          <w:rFonts w:ascii="Times New Roman" w:hAnsi="Times New Roman" w:cs="Times New Roman"/>
        </w:rPr>
        <w:t>3.2</w:t>
      </w:r>
      <w:r>
        <w:rPr>
          <w:rFonts w:ascii="Times New Roman" w:hAnsi="Times New Roman" w:cs="Times New Roman" w:hint="eastAsia"/>
        </w:rPr>
        <w:t>零部件取货与运输问题</w:t>
      </w:r>
      <w:bookmarkEnd w:id="20"/>
    </w:p>
    <w:p w14:paraId="382415BF" w14:textId="77777777" w:rsidR="00CC512B" w:rsidRDefault="00000000">
      <w:pPr>
        <w:pStyle w:val="3"/>
        <w:rPr>
          <w:rFonts w:ascii="Times New Roman" w:eastAsia="宋体" w:hAnsi="Times New Roman" w:cs="Times New Roman"/>
          <w:sz w:val="24"/>
          <w:szCs w:val="24"/>
        </w:rPr>
      </w:pPr>
      <w:bookmarkStart w:id="21" w:name="_Toc144363214"/>
      <w:r>
        <w:rPr>
          <w:rFonts w:ascii="Times New Roman" w:hAnsi="Times New Roman" w:cs="Times New Roman"/>
        </w:rPr>
        <w:t xml:space="preserve">3.2.1 </w:t>
      </w:r>
      <w:r>
        <w:rPr>
          <w:rFonts w:ascii="Times New Roman" w:hAnsi="Times New Roman" w:cs="Times New Roman"/>
        </w:rPr>
        <w:t>背景</w:t>
      </w:r>
      <w:bookmarkEnd w:id="21"/>
      <w:r>
        <w:rPr>
          <w:rFonts w:ascii="Times New Roman" w:eastAsia="宋体" w:hAnsi="Times New Roman" w:cs="Times New Roman"/>
          <w:sz w:val="24"/>
          <w:szCs w:val="24"/>
        </w:rPr>
        <w:t xml:space="preserve">   </w:t>
      </w:r>
    </w:p>
    <w:p w14:paraId="5B630086"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hint="eastAsia"/>
          <w:sz w:val="24"/>
          <w:szCs w:val="24"/>
        </w:rPr>
        <w:t>公司在附近</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公里范围内布局场外仓与厂内流转仓联动，场外仓由第三</w:t>
      </w:r>
      <w:r>
        <w:rPr>
          <w:rFonts w:ascii="Times New Roman" w:eastAsia="宋体" w:hAnsi="Times New Roman" w:cs="Times New Roman" w:hint="eastAsia"/>
          <w:sz w:val="24"/>
          <w:szCs w:val="24"/>
        </w:rPr>
        <w:lastRenderedPageBreak/>
        <w:t>方物流企业代管并按照</w:t>
      </w:r>
      <w:r>
        <w:rPr>
          <w:rFonts w:ascii="Times New Roman" w:eastAsia="宋体" w:hAnsi="Times New Roman" w:cs="Times New Roman" w:hint="eastAsia"/>
          <w:sz w:val="24"/>
          <w:szCs w:val="24"/>
        </w:rPr>
        <w:t>J</w:t>
      </w:r>
      <w:r>
        <w:rPr>
          <w:rFonts w:ascii="Times New Roman" w:eastAsia="宋体" w:hAnsi="Times New Roman" w:cs="Times New Roman"/>
          <w:sz w:val="24"/>
          <w:szCs w:val="24"/>
        </w:rPr>
        <w:t>IT</w:t>
      </w:r>
      <w:r>
        <w:rPr>
          <w:rFonts w:ascii="Times New Roman" w:eastAsia="宋体" w:hAnsi="Times New Roman" w:cs="Times New Roman" w:hint="eastAsia"/>
          <w:sz w:val="24"/>
          <w:szCs w:val="24"/>
        </w:rPr>
        <w:t>模式实施零部件供应。供应商分布在本地、川渝地区、省外地区。本地</w:t>
      </w:r>
      <w:r>
        <w:rPr>
          <w:rFonts w:ascii="Times New Roman" w:eastAsia="宋体" w:hAnsi="Times New Roman" w:cs="Times New Roman"/>
          <w:sz w:val="24"/>
          <w:szCs w:val="24"/>
        </w:rPr>
        <w:t>能完成</w:t>
      </w:r>
      <w:r>
        <w:rPr>
          <w:rFonts w:ascii="Times New Roman" w:eastAsia="宋体" w:hAnsi="Times New Roman" w:cs="Times New Roman"/>
          <w:sz w:val="24"/>
          <w:szCs w:val="24"/>
        </w:rPr>
        <w:t>10</w:t>
      </w:r>
      <w:r>
        <w:rPr>
          <w:rFonts w:ascii="Times New Roman" w:eastAsia="宋体" w:hAnsi="Times New Roman" w:cs="Times New Roman"/>
          <w:sz w:val="24"/>
          <w:szCs w:val="24"/>
        </w:rPr>
        <w:t>％的零部件配套，以内外饰件为主，其余零部件产地主要分布在华东，供应商先将货物运至</w:t>
      </w:r>
      <w:r>
        <w:rPr>
          <w:rFonts w:ascii="Times New Roman" w:eastAsia="宋体" w:hAnsi="Times New Roman" w:cs="Times New Roman" w:hint="eastAsia"/>
          <w:sz w:val="24"/>
          <w:szCs w:val="24"/>
        </w:rPr>
        <w:t>华东地区</w:t>
      </w:r>
      <w:r>
        <w:rPr>
          <w:rFonts w:ascii="Times New Roman" w:eastAsia="宋体" w:hAnsi="Times New Roman" w:cs="Times New Roman"/>
          <w:sz w:val="24"/>
          <w:szCs w:val="24"/>
        </w:rPr>
        <w:t>集中存储，再统一发往</w:t>
      </w:r>
      <w:r>
        <w:rPr>
          <w:rFonts w:ascii="Times New Roman" w:eastAsia="宋体" w:hAnsi="Times New Roman" w:cs="Times New Roman" w:hint="eastAsia"/>
          <w:sz w:val="24"/>
          <w:szCs w:val="24"/>
        </w:rPr>
        <w:t>工厂</w:t>
      </w:r>
      <w:r>
        <w:rPr>
          <w:rFonts w:ascii="Times New Roman" w:eastAsia="宋体" w:hAnsi="Times New Roman" w:cs="Times New Roman"/>
          <w:sz w:val="24"/>
          <w:szCs w:val="24"/>
        </w:rPr>
        <w:t>。</w:t>
      </w:r>
      <w:r>
        <w:rPr>
          <w:rFonts w:ascii="Times New Roman" w:eastAsia="宋体" w:hAnsi="Times New Roman" w:cs="Times New Roman" w:hint="eastAsia"/>
          <w:sz w:val="24"/>
          <w:szCs w:val="24"/>
        </w:rPr>
        <w:t>具体模式为，</w:t>
      </w:r>
      <w:r>
        <w:rPr>
          <w:rFonts w:ascii="Times New Roman" w:eastAsia="宋体" w:hAnsi="Times New Roman" w:cs="Times New Roman"/>
          <w:sz w:val="24"/>
          <w:szCs w:val="24"/>
        </w:rPr>
        <w:t>A</w:t>
      </w:r>
      <w:r>
        <w:rPr>
          <w:rFonts w:ascii="Times New Roman" w:eastAsia="宋体" w:hAnsi="Times New Roman" w:cs="Times New Roman" w:hint="eastAsia"/>
          <w:sz w:val="24"/>
          <w:szCs w:val="24"/>
        </w:rPr>
        <w:t>公司</w:t>
      </w:r>
      <w:r>
        <w:rPr>
          <w:rFonts w:ascii="Times New Roman" w:eastAsia="宋体" w:hAnsi="Times New Roman" w:cs="Times New Roman"/>
          <w:sz w:val="24"/>
          <w:szCs w:val="24"/>
        </w:rPr>
        <w:t>对其零部件供应商下达采购通知，各供应商收到订单信息后分别进行生产，生产结束后由供应商自行安排承运商进行发货到第三方物流</w:t>
      </w:r>
      <w:r>
        <w:rPr>
          <w:rFonts w:ascii="Times New Roman" w:eastAsia="宋体" w:hAnsi="Times New Roman" w:cs="Times New Roman" w:hint="eastAsia"/>
          <w:sz w:val="24"/>
          <w:szCs w:val="24"/>
        </w:rPr>
        <w:t>（华东仓）。</w:t>
      </w:r>
      <w:r>
        <w:rPr>
          <w:rFonts w:ascii="Times New Roman" w:eastAsia="宋体" w:hAnsi="Times New Roman" w:cs="Times New Roman"/>
          <w:sz w:val="24"/>
          <w:szCs w:val="24"/>
        </w:rPr>
        <w:t>货物到达后第三方物流进行质验收货后</w:t>
      </w:r>
      <w:r>
        <w:rPr>
          <w:rFonts w:ascii="Times New Roman" w:eastAsia="宋体" w:hAnsi="Times New Roman" w:cs="Times New Roman" w:hint="eastAsia"/>
          <w:sz w:val="24"/>
          <w:szCs w:val="24"/>
        </w:rPr>
        <w:t>再统一安排发往</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公司场外仓。由场外仓</w:t>
      </w:r>
      <w:r>
        <w:rPr>
          <w:rFonts w:ascii="Times New Roman" w:eastAsia="宋体" w:hAnsi="Times New Roman" w:cs="Times New Roman"/>
          <w:sz w:val="24"/>
          <w:szCs w:val="24"/>
        </w:rPr>
        <w:t>对零部件进行存储和翻包</w:t>
      </w:r>
      <w:r>
        <w:rPr>
          <w:rFonts w:ascii="Times New Roman" w:eastAsia="宋体" w:hAnsi="Times New Roman" w:cs="Times New Roman" w:hint="eastAsia"/>
          <w:sz w:val="24"/>
          <w:szCs w:val="24"/>
        </w:rPr>
        <w:t>并根据厂内流转仓指令进行配送</w:t>
      </w:r>
      <w:r>
        <w:rPr>
          <w:rFonts w:ascii="Times New Roman" w:eastAsia="宋体" w:hAnsi="Times New Roman" w:cs="Times New Roman"/>
          <w:sz w:val="24"/>
          <w:szCs w:val="24"/>
        </w:rPr>
        <w:t>。</w:t>
      </w:r>
      <w:r>
        <w:rPr>
          <w:rFonts w:ascii="Times New Roman" w:eastAsia="宋体" w:hAnsi="Times New Roman" w:cs="Times New Roman" w:hint="eastAsia"/>
          <w:sz w:val="24"/>
          <w:szCs w:val="24"/>
        </w:rPr>
        <w:t>以</w:t>
      </w:r>
      <w:r>
        <w:rPr>
          <w:rFonts w:ascii="Times New Roman" w:eastAsia="宋体" w:hAnsi="Times New Roman" w:cs="Times New Roman"/>
          <w:sz w:val="24"/>
          <w:szCs w:val="24"/>
        </w:rPr>
        <w:t>B</w:t>
      </w:r>
      <w:r>
        <w:rPr>
          <w:rFonts w:ascii="Times New Roman" w:eastAsia="宋体" w:hAnsi="Times New Roman" w:cs="Times New Roman" w:hint="eastAsia"/>
          <w:sz w:val="24"/>
          <w:szCs w:val="24"/>
        </w:rPr>
        <w:t>车型为例，所需物料约为</w:t>
      </w:r>
      <w:r>
        <w:rPr>
          <w:rFonts w:ascii="Times New Roman" w:eastAsia="宋体" w:hAnsi="Times New Roman" w:cs="Times New Roman" w:hint="eastAsia"/>
          <w:sz w:val="24"/>
          <w:szCs w:val="24"/>
        </w:rPr>
        <w:t>9</w:t>
      </w:r>
      <w:r>
        <w:rPr>
          <w:rFonts w:ascii="Times New Roman" w:eastAsia="宋体" w:hAnsi="Times New Roman" w:cs="Times New Roman"/>
          <w:sz w:val="24"/>
          <w:szCs w:val="24"/>
        </w:rPr>
        <w:t>93</w:t>
      </w:r>
      <w:r>
        <w:rPr>
          <w:rFonts w:ascii="Times New Roman" w:eastAsia="宋体" w:hAnsi="Times New Roman" w:cs="Times New Roman" w:hint="eastAsia"/>
          <w:sz w:val="24"/>
          <w:szCs w:val="24"/>
        </w:rPr>
        <w:t>种，各物料供应商如附表</w:t>
      </w:r>
      <w:r>
        <w:rPr>
          <w:rFonts w:ascii="Times New Roman" w:eastAsia="宋体" w:hAnsi="Times New Roman" w:cs="Times New Roman"/>
          <w:sz w:val="24"/>
          <w:szCs w:val="24"/>
        </w:rPr>
        <w:t>3</w:t>
      </w:r>
      <w:r>
        <w:rPr>
          <w:rFonts w:ascii="Times New Roman" w:eastAsia="宋体" w:hAnsi="Times New Roman" w:cs="Times New Roman" w:hint="eastAsia"/>
          <w:sz w:val="24"/>
          <w:szCs w:val="24"/>
        </w:rPr>
        <w:t>所示，遍布江苏、安徽、河北等地。</w:t>
      </w:r>
    </w:p>
    <w:p w14:paraId="0018011B"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循环取货模式在汽车制造业供应链管理方面已经得到了广泛的应用和发展，尤其是在入厂物流业务环节。循环取货，英语原文为</w:t>
      </w:r>
      <w:r>
        <w:rPr>
          <w:rFonts w:ascii="Times New Roman" w:eastAsia="宋体" w:hAnsi="Times New Roman" w:cs="Times New Roman"/>
          <w:sz w:val="24"/>
          <w:szCs w:val="24"/>
        </w:rPr>
        <w:t>Milk-run</w:t>
      </w:r>
      <w:r>
        <w:rPr>
          <w:rFonts w:ascii="Times New Roman" w:eastAsia="宋体" w:hAnsi="Times New Roman" w:cs="Times New Roman"/>
          <w:sz w:val="24"/>
          <w:szCs w:val="24"/>
        </w:rPr>
        <w:t>，是一种制造商用同一运输车辆从多个供应商处装载零配件模式。其核心是：事先设计好行驶路线，在交接时同时</w:t>
      </w:r>
      <w:r>
        <w:rPr>
          <w:rFonts w:ascii="Times New Roman" w:eastAsia="宋体" w:hAnsi="Times New Roman" w:cs="Times New Roman"/>
          <w:sz w:val="24"/>
          <w:szCs w:val="24"/>
        </w:rPr>
        <w:t>“</w:t>
      </w:r>
      <w:r>
        <w:rPr>
          <w:rFonts w:ascii="Times New Roman" w:eastAsia="宋体" w:hAnsi="Times New Roman" w:cs="Times New Roman"/>
          <w:sz w:val="24"/>
          <w:szCs w:val="24"/>
        </w:rPr>
        <w:t>交满取空</w:t>
      </w:r>
      <w:r>
        <w:rPr>
          <w:rFonts w:ascii="Times New Roman" w:eastAsia="宋体" w:hAnsi="Times New Roman" w:cs="Times New Roman"/>
          <w:sz w:val="24"/>
          <w:szCs w:val="24"/>
        </w:rPr>
        <w:t>”</w:t>
      </w:r>
      <w:r>
        <w:rPr>
          <w:rFonts w:ascii="Times New Roman" w:eastAsia="宋体" w:hAnsi="Times New Roman" w:cs="Times New Roman"/>
          <w:sz w:val="24"/>
          <w:szCs w:val="24"/>
        </w:rPr>
        <w:t>，而且是</w:t>
      </w:r>
      <w:r>
        <w:rPr>
          <w:rFonts w:ascii="Times New Roman" w:eastAsia="宋体" w:hAnsi="Times New Roman" w:cs="Times New Roman"/>
          <w:sz w:val="24"/>
          <w:szCs w:val="24"/>
        </w:rPr>
        <w:t>“</w:t>
      </w:r>
      <w:r>
        <w:rPr>
          <w:rFonts w:ascii="Times New Roman" w:eastAsia="宋体" w:hAnsi="Times New Roman" w:cs="Times New Roman"/>
          <w:sz w:val="24"/>
          <w:szCs w:val="24"/>
        </w:rPr>
        <w:t>一一对应</w:t>
      </w:r>
      <w:r>
        <w:rPr>
          <w:rFonts w:ascii="Times New Roman" w:eastAsia="宋体" w:hAnsi="Times New Roman" w:cs="Times New Roman"/>
          <w:sz w:val="24"/>
          <w:szCs w:val="24"/>
        </w:rPr>
        <w:t>”</w:t>
      </w:r>
      <w:r>
        <w:rPr>
          <w:rFonts w:ascii="Times New Roman" w:eastAsia="宋体" w:hAnsi="Times New Roman" w:cs="Times New Roman"/>
          <w:sz w:val="24"/>
          <w:szCs w:val="24"/>
        </w:rPr>
        <w:t>。具体运作方式是在固定的时刻，卡车从整车厂出发，到各个特定供应商处，依照特定的线路，装载特定的货量。这样既提高了运输车辆的装载率，又能使物料得到及时供给，同时供给量较少的供货商不必等到零部件积满</w:t>
      </w:r>
      <w:proofErr w:type="gramStart"/>
      <w:r>
        <w:rPr>
          <w:rFonts w:ascii="Times New Roman" w:eastAsia="宋体" w:hAnsi="Times New Roman" w:cs="Times New Roman"/>
          <w:sz w:val="24"/>
          <w:szCs w:val="24"/>
        </w:rPr>
        <w:t>一</w:t>
      </w:r>
      <w:proofErr w:type="gramEnd"/>
      <w:r>
        <w:rPr>
          <w:rFonts w:ascii="Times New Roman" w:eastAsia="宋体" w:hAnsi="Times New Roman" w:cs="Times New Roman"/>
          <w:sz w:val="24"/>
          <w:szCs w:val="24"/>
        </w:rPr>
        <w:t>卡车再发运，在最大程度上实现</w:t>
      </w:r>
      <w:r>
        <w:rPr>
          <w:rFonts w:ascii="Times New Roman" w:eastAsia="宋体" w:hAnsi="Times New Roman" w:cs="Times New Roman"/>
          <w:sz w:val="24"/>
          <w:szCs w:val="24"/>
        </w:rPr>
        <w:t>JIT</w:t>
      </w:r>
      <w:r>
        <w:rPr>
          <w:rFonts w:ascii="Times New Roman" w:eastAsia="宋体" w:hAnsi="Times New Roman" w:cs="Times New Roman"/>
          <w:sz w:val="24"/>
          <w:szCs w:val="24"/>
        </w:rPr>
        <w:t>供给。</w:t>
      </w:r>
    </w:p>
    <w:p w14:paraId="33EF15EB" w14:textId="77777777" w:rsidR="00CC512B" w:rsidRDefault="00000000">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A</w:t>
      </w:r>
      <w:r>
        <w:rPr>
          <w:rFonts w:ascii="Times New Roman" w:eastAsia="宋体" w:hAnsi="Times New Roman" w:cs="Times New Roman" w:hint="eastAsia"/>
          <w:sz w:val="24"/>
          <w:szCs w:val="24"/>
        </w:rPr>
        <w:t>公司</w:t>
      </w:r>
      <w:r>
        <w:rPr>
          <w:rFonts w:ascii="Times New Roman" w:eastAsia="宋体" w:hAnsi="Times New Roman" w:cs="Times New Roman"/>
          <w:sz w:val="24"/>
          <w:szCs w:val="24"/>
        </w:rPr>
        <w:t>采用国内外先进汽车制造企业通用的平准化生产方式，通过订单平均分配，将生产进度进行科学的编排，使生产的产品、产量、工时、设备负荷等全面均衡，平准化生产方式使得汽车制造企业能够按照订单需求和产品销量均衡、平稳的进行。为了减少物流投资，实现小批量生产柔性化、线旁库存最小化、单一生产线共线生产最大化，采用了拉动式</w:t>
      </w:r>
      <w:r>
        <w:rPr>
          <w:rFonts w:ascii="Times New Roman" w:eastAsia="宋体" w:hAnsi="Times New Roman" w:cs="Times New Roman"/>
          <w:sz w:val="24"/>
          <w:szCs w:val="24"/>
        </w:rPr>
        <w:t>JIT</w:t>
      </w:r>
      <w:r>
        <w:rPr>
          <w:rFonts w:ascii="Times New Roman" w:eastAsia="宋体" w:hAnsi="Times New Roman" w:cs="Times New Roman"/>
          <w:sz w:val="24"/>
          <w:szCs w:val="24"/>
        </w:rPr>
        <w:t>生产物流体制。拉动式</w:t>
      </w:r>
      <w:r>
        <w:rPr>
          <w:rFonts w:ascii="Times New Roman" w:eastAsia="宋体" w:hAnsi="Times New Roman" w:cs="Times New Roman"/>
          <w:sz w:val="24"/>
          <w:szCs w:val="24"/>
        </w:rPr>
        <w:t>JIT</w:t>
      </w:r>
      <w:r>
        <w:rPr>
          <w:rFonts w:ascii="Times New Roman" w:eastAsia="宋体" w:hAnsi="Times New Roman" w:cs="Times New Roman"/>
          <w:sz w:val="24"/>
          <w:szCs w:val="24"/>
        </w:rPr>
        <w:t>物流体制是指以汽车制造企业零件库存最小化为前提，实现产品多样化持续生产，第三方物流必须在需要的时间内将需要的零件按需要的数量配送到汽车制造企业生产线旁，因为第三方物流配送的零件直接投入生产线，因此配送的各种零件包装必须满足上线包装，所以在配送前必须进行零件的翻包作业</w:t>
      </w:r>
      <w:r>
        <w:rPr>
          <w:rFonts w:ascii="Times New Roman" w:eastAsia="宋体" w:hAnsi="Times New Roman" w:cs="Times New Roman" w:hint="eastAsia"/>
          <w:sz w:val="24"/>
          <w:szCs w:val="24"/>
        </w:rPr>
        <w:t>，具体包括：打开原包装</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核对数量</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拿取零件</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核对信息</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横放于塑料盒</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清查翻包数量六个步骤。当厂内流转仓发出物料拉动单后，场外厂需快速响应，并在</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小时内将物料送至生产线各工位。</w:t>
      </w:r>
    </w:p>
    <w:p w14:paraId="7628992F" w14:textId="77777777" w:rsidR="00CC512B" w:rsidRDefault="00000000">
      <w:pPr>
        <w:pStyle w:val="3"/>
        <w:rPr>
          <w:rFonts w:ascii="Times New Roman" w:hAnsi="Times New Roman" w:cs="Times New Roman"/>
        </w:rPr>
      </w:pPr>
      <w:bookmarkStart w:id="22" w:name="_Toc144363215"/>
      <w:r>
        <w:rPr>
          <w:rFonts w:ascii="Times New Roman" w:hAnsi="Times New Roman" w:cs="Times New Roman"/>
        </w:rPr>
        <w:lastRenderedPageBreak/>
        <w:t xml:space="preserve">3.2.2 </w:t>
      </w:r>
      <w:r>
        <w:rPr>
          <w:rFonts w:ascii="Times New Roman" w:hAnsi="Times New Roman" w:cs="Times New Roman"/>
        </w:rPr>
        <w:t>问题</w:t>
      </w:r>
      <w:bookmarkEnd w:id="22"/>
    </w:p>
    <w:p w14:paraId="0E898C20"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1</w:t>
      </w:r>
      <w:r>
        <w:rPr>
          <w:rFonts w:ascii="Times New Roman" w:eastAsia="宋体" w:hAnsi="Times New Roman" w:cs="Times New Roman" w:hint="eastAsia"/>
          <w:sz w:val="24"/>
          <w:szCs w:val="24"/>
        </w:rPr>
        <w:t>）汽车零部件的循环取货效率和效益问题。</w:t>
      </w:r>
    </w:p>
    <w:p w14:paraId="4DD15867"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循环取货的操作模式与原有的零部件供应模式相比，是精益供应链（</w:t>
      </w:r>
      <w:r>
        <w:rPr>
          <w:rFonts w:ascii="Times New Roman" w:eastAsia="宋体" w:hAnsi="Times New Roman" w:cs="Times New Roman"/>
          <w:sz w:val="24"/>
          <w:szCs w:val="24"/>
        </w:rPr>
        <w:t>Lean Supply Chain</w:t>
      </w:r>
      <w:r>
        <w:rPr>
          <w:rFonts w:ascii="Times New Roman" w:eastAsia="宋体" w:hAnsi="Times New Roman" w:cs="Times New Roman"/>
          <w:sz w:val="24"/>
          <w:szCs w:val="24"/>
        </w:rPr>
        <w:t>）的管理方法。</w:t>
      </w:r>
      <w:r>
        <w:rPr>
          <w:rFonts w:ascii="Times New Roman" w:eastAsia="宋体" w:hAnsi="Times New Roman" w:cs="Times New Roman" w:hint="eastAsia"/>
          <w:sz w:val="24"/>
          <w:szCs w:val="24"/>
        </w:rPr>
        <w:t>针对</w:t>
      </w:r>
      <w:r>
        <w:rPr>
          <w:rFonts w:ascii="Times New Roman" w:eastAsia="宋体" w:hAnsi="Times New Roman" w:cs="Times New Roman"/>
          <w:sz w:val="24"/>
          <w:szCs w:val="24"/>
        </w:rPr>
        <w:t>A</w:t>
      </w:r>
      <w:r>
        <w:rPr>
          <w:rFonts w:ascii="Times New Roman" w:eastAsia="宋体" w:hAnsi="Times New Roman" w:cs="Times New Roman" w:hint="eastAsia"/>
          <w:sz w:val="24"/>
          <w:szCs w:val="24"/>
        </w:rPr>
        <w:t>公司供应商分布现状，在兼顾时间和费用的同时能否设计合适的取货模式？</w:t>
      </w:r>
    </w:p>
    <w:p w14:paraId="73394AC5"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sz w:val="24"/>
          <w:szCs w:val="24"/>
        </w:rPr>
        <w:t>2</w:t>
      </w:r>
      <w:r>
        <w:rPr>
          <w:rFonts w:ascii="Times New Roman" w:eastAsia="宋体" w:hAnsi="Times New Roman" w:cs="Times New Roman" w:hint="eastAsia"/>
          <w:sz w:val="24"/>
          <w:szCs w:val="24"/>
        </w:rPr>
        <w:t>）华东—四川直航长江航线的可能性和必要性问题</w:t>
      </w:r>
    </w:p>
    <w:p w14:paraId="77F66239"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现阶段原材料和零部件从华东供应商到达四川工厂，没有直达航线，必须经过中转过程，这必然导致中转时间和费用的增加，请论证开通华东—四川直航长江航线的可能性和必要性。</w:t>
      </w:r>
    </w:p>
    <w:p w14:paraId="42230BE2" w14:textId="77777777" w:rsidR="00CC512B" w:rsidRDefault="00000000">
      <w:pPr>
        <w:spacing w:line="360" w:lineRule="auto"/>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3</w:t>
      </w:r>
      <w:r>
        <w:rPr>
          <w:rFonts w:ascii="Times New Roman" w:eastAsia="宋体" w:hAnsi="Times New Roman" w:cs="Times New Roman" w:hint="eastAsia"/>
          <w:sz w:val="24"/>
          <w:szCs w:val="24"/>
        </w:rPr>
        <w:t>）工厂</w:t>
      </w:r>
      <w:proofErr w:type="gramStart"/>
      <w:r>
        <w:rPr>
          <w:rFonts w:ascii="Times New Roman" w:eastAsia="宋体" w:hAnsi="Times New Roman" w:cs="Times New Roman" w:hint="eastAsia"/>
          <w:sz w:val="24"/>
          <w:szCs w:val="24"/>
        </w:rPr>
        <w:t>内外仓</w:t>
      </w:r>
      <w:proofErr w:type="gramEnd"/>
      <w:r>
        <w:rPr>
          <w:rFonts w:ascii="Times New Roman" w:eastAsia="宋体" w:hAnsi="Times New Roman" w:cs="Times New Roman" w:hint="eastAsia"/>
          <w:sz w:val="24"/>
          <w:szCs w:val="24"/>
        </w:rPr>
        <w:t>物流翻包问题</w:t>
      </w:r>
    </w:p>
    <w:p w14:paraId="558BBB96" w14:textId="77777777" w:rsidR="00CC512B" w:rsidRDefault="00000000">
      <w:pPr>
        <w:spacing w:line="360" w:lineRule="auto"/>
        <w:ind w:firstLine="480"/>
        <w:rPr>
          <w:rFonts w:ascii="Times New Roman" w:eastAsia="宋体" w:hAnsi="Times New Roman" w:cs="Times New Roman"/>
          <w:sz w:val="24"/>
          <w:szCs w:val="24"/>
          <w:lang w:eastAsia="zh-Hans"/>
        </w:rPr>
      </w:pPr>
      <w:r>
        <w:rPr>
          <w:rFonts w:ascii="Times New Roman" w:eastAsia="宋体" w:hAnsi="Times New Roman" w:cs="Times New Roman" w:hint="eastAsia"/>
          <w:sz w:val="24"/>
          <w:szCs w:val="24"/>
        </w:rPr>
        <w:t>当厂内流转仓物料数量低于安全库存时，发出物料拉动单。对于场外仓而言，翻包作业步骤繁琐，且无实际意义。能否在原包装与上线包装中实现无缝衔接呢？</w:t>
      </w:r>
      <w:r>
        <w:rPr>
          <w:rFonts w:ascii="Times New Roman" w:eastAsia="宋体" w:hAnsi="Times New Roman" w:cs="Times New Roman" w:hint="eastAsia"/>
          <w:sz w:val="24"/>
          <w:szCs w:val="24"/>
        </w:rPr>
        <w:t xml:space="preserve"> </w:t>
      </w:r>
    </w:p>
    <w:p w14:paraId="6CA84534" w14:textId="77777777" w:rsidR="00CC512B" w:rsidRDefault="00CC512B">
      <w:pPr>
        <w:spacing w:line="360" w:lineRule="auto"/>
        <w:jc w:val="left"/>
        <w:rPr>
          <w:rFonts w:ascii="Times New Roman" w:eastAsia="宋体" w:hAnsi="Times New Roman" w:cs="Times New Roman"/>
          <w:sz w:val="24"/>
          <w:szCs w:val="24"/>
          <w:lang w:eastAsia="zh-Hans"/>
        </w:rPr>
      </w:pPr>
    </w:p>
    <w:sectPr w:rsidR="00CC512B">
      <w:footerReference w:type="default" r:id="rId1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EDE7E" w14:textId="77777777" w:rsidR="00311C14" w:rsidRDefault="00311C14">
      <w:r>
        <w:separator/>
      </w:r>
    </w:p>
  </w:endnote>
  <w:endnote w:type="continuationSeparator" w:id="0">
    <w:p w14:paraId="3A9F0486" w14:textId="77777777" w:rsidR="00311C14" w:rsidRDefault="00311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岏.聀.">
    <w:altName w:val="宋体"/>
    <w:charset w:val="86"/>
    <w:family w:val="roma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8825174"/>
    </w:sdtPr>
    <w:sdtContent>
      <w:p w14:paraId="74D33EEF" w14:textId="77777777" w:rsidR="00CC512B" w:rsidRDefault="00000000">
        <w:pPr>
          <w:pStyle w:val="ac"/>
          <w:jc w:val="center"/>
        </w:pPr>
        <w:r>
          <w:fldChar w:fldCharType="begin"/>
        </w:r>
        <w:r>
          <w:instrText>PAGE   \* MERGEFORMAT</w:instrText>
        </w:r>
        <w:r>
          <w:fldChar w:fldCharType="separate"/>
        </w:r>
        <w:r>
          <w:t>1</w:t>
        </w:r>
        <w:r>
          <w:fldChar w:fldCharType="end"/>
        </w:r>
      </w:p>
    </w:sdtContent>
  </w:sdt>
  <w:p w14:paraId="67224A83" w14:textId="77777777" w:rsidR="00CC512B" w:rsidRDefault="00CC512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4F8A1" w14:textId="77777777" w:rsidR="00CC512B" w:rsidRDefault="00000000">
    <w:pPr>
      <w:pStyle w:val="ac"/>
      <w:jc w:val="center"/>
    </w:pPr>
    <w:r>
      <w:rPr>
        <w:rFonts w:hint="eastAsia"/>
      </w:rPr>
      <w:t>第</w:t>
    </w:r>
    <w:sdt>
      <w:sdtPr>
        <w:id w:val="648492091"/>
      </w:sdtPr>
      <w:sdtContent>
        <w:r>
          <w:fldChar w:fldCharType="begin"/>
        </w:r>
        <w:r>
          <w:instrText>PAGE   \* MERGEFORMAT</w:instrText>
        </w:r>
        <w:r>
          <w:fldChar w:fldCharType="separate"/>
        </w:r>
        <w:r>
          <w:rPr>
            <w:lang w:val="zh-CN"/>
          </w:rPr>
          <w:t>11</w:t>
        </w:r>
        <w:r>
          <w:fldChar w:fldCharType="end"/>
        </w:r>
        <w:r>
          <w:rPr>
            <w:rFonts w:hint="eastAsia"/>
          </w:rPr>
          <w:t>页</w:t>
        </w:r>
      </w:sdtContent>
    </w:sdt>
  </w:p>
  <w:p w14:paraId="15D314E1" w14:textId="77777777" w:rsidR="00CC512B" w:rsidRDefault="00CC512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C1B49" w14:textId="77777777" w:rsidR="00311C14" w:rsidRDefault="00311C14">
      <w:r>
        <w:separator/>
      </w:r>
    </w:p>
  </w:footnote>
  <w:footnote w:type="continuationSeparator" w:id="0">
    <w:p w14:paraId="690AD912" w14:textId="77777777" w:rsidR="00311C14" w:rsidRDefault="00311C1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E0MmFkNDI4MjhlYmJjNzQyMzNjMzkxYjYzOGNkNTAifQ=="/>
  </w:docVars>
  <w:rsids>
    <w:rsidRoot w:val="00CC512B"/>
    <w:rsid w:val="00311C14"/>
    <w:rsid w:val="00834B86"/>
    <w:rsid w:val="00CC5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E2ABD3"/>
  <w15:docId w15:val="{87E38C0B-EEE9-4785-BD6B-04EBEAC06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0"/>
    <w:link w:val="10"/>
    <w:uiPriority w:val="9"/>
    <w:qFormat/>
    <w:pPr>
      <w:keepNext/>
      <w:keepLines/>
      <w:spacing w:before="340" w:after="330" w:line="576" w:lineRule="auto"/>
      <w:outlineLvl w:val="0"/>
    </w:pPr>
    <w:rPr>
      <w:b/>
      <w:kern w:val="44"/>
      <w:sz w:val="44"/>
    </w:rPr>
  </w:style>
  <w:style w:type="paragraph" w:styleId="2">
    <w:name w:val="heading 2"/>
    <w:basedOn w:val="a"/>
    <w:next w:val="a"/>
    <w:link w:val="20"/>
    <w:uiPriority w:val="9"/>
    <w:unhideWhenUsed/>
    <w:qFormat/>
    <w:pPr>
      <w:keepNext/>
      <w:keepLines/>
      <w:spacing w:before="260" w:after="260" w:line="413" w:lineRule="auto"/>
      <w:outlineLvl w:val="1"/>
    </w:pPr>
    <w:rPr>
      <w:rFonts w:ascii="Arial" w:eastAsia="黑体" w:hAnsi="Arial"/>
      <w:b/>
      <w:sz w:val="28"/>
    </w:rPr>
  </w:style>
  <w:style w:type="paragraph" w:styleId="3">
    <w:name w:val="heading 3"/>
    <w:basedOn w:val="a"/>
    <w:next w:val="a"/>
    <w:link w:val="31"/>
    <w:uiPriority w:val="9"/>
    <w:unhideWhenUsed/>
    <w:qFormat/>
    <w:pPr>
      <w:keepNext/>
      <w:keepLines/>
      <w:spacing w:before="260" w:after="260" w:line="413" w:lineRule="auto"/>
      <w:outlineLvl w:val="2"/>
    </w:pPr>
    <w:rPr>
      <w:b/>
      <w:sz w:val="28"/>
    </w:rPr>
  </w:style>
  <w:style w:type="paragraph" w:styleId="4">
    <w:name w:val="heading 4"/>
    <w:basedOn w:val="a"/>
    <w:next w:val="a"/>
    <w:link w:val="41"/>
    <w:uiPriority w:val="9"/>
    <w:unhideWhenUsed/>
    <w:qFormat/>
    <w:pPr>
      <w:keepNext/>
      <w:keepLines/>
      <w:spacing w:before="280" w:after="290" w:line="376" w:lineRule="auto"/>
      <w:outlineLvl w:val="3"/>
    </w:pPr>
    <w:rPr>
      <w:rFonts w:asciiTheme="majorHAnsi" w:eastAsia="宋体" w:hAnsiTheme="majorHAnsi" w:cstheme="majorBidi"/>
      <w:b/>
      <w:bCs/>
      <w:sz w:val="24"/>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0">
    <w:name w:val="正文内容"/>
    <w:basedOn w:val="a"/>
    <w:link w:val="Char"/>
    <w:qFormat/>
    <w:pPr>
      <w:spacing w:line="360" w:lineRule="auto"/>
      <w:ind w:firstLineChars="200" w:firstLine="200"/>
    </w:pPr>
    <w:rPr>
      <w:rFonts w:ascii="Times New Roman" w:eastAsia="宋体" w:hAnsi="Times New Roman" w:cs="Times New Roman"/>
      <w:sz w:val="24"/>
      <w:szCs w:val="20"/>
    </w:rPr>
  </w:style>
  <w:style w:type="paragraph" w:styleId="a4">
    <w:name w:val="annotation text"/>
    <w:basedOn w:val="a"/>
    <w:link w:val="a5"/>
    <w:uiPriority w:val="99"/>
    <w:unhideWhenUsed/>
    <w:qFormat/>
    <w:pPr>
      <w:jc w:val="left"/>
    </w:pPr>
  </w:style>
  <w:style w:type="paragraph" w:styleId="TOC3">
    <w:name w:val="toc 3"/>
    <w:basedOn w:val="a"/>
    <w:next w:val="a"/>
    <w:uiPriority w:val="39"/>
    <w:unhideWhenUsed/>
    <w:qFormat/>
    <w:pPr>
      <w:ind w:leftChars="400" w:left="840"/>
    </w:pPr>
  </w:style>
  <w:style w:type="paragraph" w:styleId="a6">
    <w:name w:val="Plain Text"/>
    <w:basedOn w:val="a"/>
    <w:link w:val="a7"/>
    <w:uiPriority w:val="99"/>
    <w:unhideWhenUsed/>
    <w:qFormat/>
    <w:rPr>
      <w:rFonts w:asciiTheme="minorEastAsia" w:hAnsi="Courier New" w:cs="Courier New"/>
    </w:rPr>
  </w:style>
  <w:style w:type="paragraph" w:styleId="a8">
    <w:name w:val="Date"/>
    <w:basedOn w:val="a"/>
    <w:next w:val="a"/>
    <w:link w:val="a9"/>
    <w:uiPriority w:val="99"/>
    <w:unhideWhenUsed/>
    <w:qFormat/>
    <w:pPr>
      <w:ind w:leftChars="2500" w:left="100"/>
    </w:pPr>
  </w:style>
  <w:style w:type="paragraph" w:styleId="aa">
    <w:name w:val="Balloon Text"/>
    <w:basedOn w:val="a"/>
    <w:link w:val="ab"/>
    <w:uiPriority w:val="99"/>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paragraph" w:styleId="af0">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1">
    <w:name w:val="annotation subject"/>
    <w:basedOn w:val="a4"/>
    <w:next w:val="a4"/>
    <w:link w:val="af2"/>
    <w:uiPriority w:val="99"/>
    <w:unhideWhenUsed/>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uiPriority w:val="22"/>
    <w:qFormat/>
    <w:rPr>
      <w:b/>
      <w:bCs/>
    </w:rPr>
  </w:style>
  <w:style w:type="character" w:styleId="af5">
    <w:name w:val="Emphasis"/>
    <w:basedOn w:val="a1"/>
    <w:uiPriority w:val="20"/>
    <w:qFormat/>
    <w:rPr>
      <w:i/>
    </w:rPr>
  </w:style>
  <w:style w:type="character" w:styleId="af6">
    <w:name w:val="Hyperlink"/>
    <w:basedOn w:val="a1"/>
    <w:uiPriority w:val="99"/>
    <w:unhideWhenUsed/>
    <w:qFormat/>
    <w:rPr>
      <w:color w:val="0563C1" w:themeColor="hyperlink"/>
      <w:u w:val="single"/>
    </w:rPr>
  </w:style>
  <w:style w:type="character" w:styleId="af7">
    <w:name w:val="annotation reference"/>
    <w:basedOn w:val="a1"/>
    <w:uiPriority w:val="99"/>
    <w:unhideWhenUsed/>
    <w:qFormat/>
    <w:rPr>
      <w:sz w:val="21"/>
      <w:szCs w:val="21"/>
    </w:rPr>
  </w:style>
  <w:style w:type="paragraph" w:customStyle="1" w:styleId="11">
    <w:name w:val="列出段落1"/>
    <w:basedOn w:val="a"/>
    <w:uiPriority w:val="34"/>
    <w:qFormat/>
    <w:pPr>
      <w:ind w:firstLineChars="200" w:firstLine="420"/>
    </w:pPr>
  </w:style>
  <w:style w:type="character" w:customStyle="1" w:styleId="bjh-p">
    <w:name w:val="bjh-p"/>
    <w:basedOn w:val="a1"/>
    <w:qFormat/>
  </w:style>
  <w:style w:type="character" w:customStyle="1" w:styleId="bjh-strong">
    <w:name w:val="bjh-strong"/>
    <w:basedOn w:val="a1"/>
    <w:qFormat/>
  </w:style>
  <w:style w:type="paragraph" w:customStyle="1" w:styleId="12">
    <w:name w:val="正文1"/>
    <w:basedOn w:val="a6"/>
    <w:link w:val="1Char"/>
    <w:qFormat/>
    <w:pPr>
      <w:snapToGrid w:val="0"/>
      <w:spacing w:line="400" w:lineRule="exact"/>
      <w:ind w:firstLineChars="200" w:firstLine="480"/>
    </w:pPr>
    <w:rPr>
      <w:rFonts w:ascii="Times New Roman" w:eastAsia="宋体" w:hAnsi="宋体" w:cs="Times New Roman"/>
      <w:sz w:val="24"/>
      <w:szCs w:val="20"/>
    </w:rPr>
  </w:style>
  <w:style w:type="character" w:customStyle="1" w:styleId="1Char">
    <w:name w:val="正文1 Char"/>
    <w:link w:val="12"/>
    <w:qFormat/>
    <w:rPr>
      <w:rFonts w:hAnsi="宋体"/>
      <w:kern w:val="2"/>
      <w:sz w:val="24"/>
    </w:rPr>
  </w:style>
  <w:style w:type="character" w:customStyle="1" w:styleId="a7">
    <w:name w:val="纯文本 字符"/>
    <w:basedOn w:val="a1"/>
    <w:link w:val="a6"/>
    <w:uiPriority w:val="99"/>
    <w:semiHidden/>
    <w:qFormat/>
    <w:rPr>
      <w:rFonts w:asciiTheme="minorEastAsia" w:eastAsiaTheme="minorEastAsia" w:hAnsi="Courier New" w:cs="Courier New"/>
      <w:kern w:val="2"/>
      <w:sz w:val="21"/>
      <w:szCs w:val="22"/>
    </w:rPr>
  </w:style>
  <w:style w:type="character" w:customStyle="1" w:styleId="af">
    <w:name w:val="页眉 字符"/>
    <w:basedOn w:val="a1"/>
    <w:link w:val="ae"/>
    <w:uiPriority w:val="99"/>
    <w:qFormat/>
    <w:rPr>
      <w:rFonts w:asciiTheme="minorHAnsi" w:eastAsiaTheme="minorEastAsia" w:hAnsiTheme="minorHAnsi" w:cstheme="minorBidi"/>
      <w:kern w:val="2"/>
      <w:sz w:val="18"/>
      <w:szCs w:val="18"/>
    </w:rPr>
  </w:style>
  <w:style w:type="character" w:customStyle="1" w:styleId="ad">
    <w:name w:val="页脚 字符"/>
    <w:basedOn w:val="a1"/>
    <w:link w:val="ac"/>
    <w:uiPriority w:val="99"/>
    <w:qFormat/>
    <w:rPr>
      <w:rFonts w:asciiTheme="minorHAnsi" w:eastAsiaTheme="minorEastAsia" w:hAnsiTheme="minorHAnsi" w:cstheme="minorBidi"/>
      <w:kern w:val="2"/>
      <w:sz w:val="18"/>
      <w:szCs w:val="18"/>
    </w:rPr>
  </w:style>
  <w:style w:type="table" w:customStyle="1" w:styleId="21">
    <w:name w:val="网格型2"/>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正文内容 Char"/>
    <w:link w:val="a0"/>
    <w:qFormat/>
    <w:rPr>
      <w:kern w:val="2"/>
      <w:sz w:val="24"/>
    </w:rPr>
  </w:style>
  <w:style w:type="paragraph" w:customStyle="1" w:styleId="30">
    <w:name w:val="标题3"/>
    <w:basedOn w:val="a"/>
    <w:next w:val="a0"/>
    <w:qFormat/>
    <w:pPr>
      <w:widowControl/>
      <w:spacing w:line="360" w:lineRule="auto"/>
      <w:jc w:val="left"/>
      <w:outlineLvl w:val="2"/>
    </w:pPr>
    <w:rPr>
      <w:rFonts w:ascii="Times New Roman" w:eastAsia="黑体" w:hAnsi="Times New Roman" w:cs="Times New Roman"/>
      <w:sz w:val="28"/>
      <w:szCs w:val="20"/>
    </w:rPr>
  </w:style>
  <w:style w:type="character" w:customStyle="1" w:styleId="10">
    <w:name w:val="标题 1 字符"/>
    <w:basedOn w:val="a1"/>
    <w:link w:val="1"/>
    <w:uiPriority w:val="9"/>
    <w:qFormat/>
    <w:rPr>
      <w:rFonts w:asciiTheme="minorHAnsi" w:eastAsiaTheme="minorEastAsia" w:hAnsiTheme="minorHAnsi" w:cstheme="minorBidi"/>
      <w:b/>
      <w:kern w:val="44"/>
      <w:sz w:val="44"/>
      <w:szCs w:val="22"/>
    </w:rPr>
  </w:style>
  <w:style w:type="character" w:customStyle="1" w:styleId="40">
    <w:name w:val="标题 4 字符"/>
    <w:basedOn w:val="a1"/>
    <w:uiPriority w:val="9"/>
    <w:qFormat/>
    <w:rPr>
      <w:rFonts w:asciiTheme="majorHAnsi" w:hAnsiTheme="majorHAnsi" w:cstheme="majorBidi"/>
      <w:b/>
      <w:bCs/>
      <w:kern w:val="2"/>
      <w:sz w:val="24"/>
      <w:szCs w:val="28"/>
    </w:rPr>
  </w:style>
  <w:style w:type="paragraph" w:customStyle="1" w:styleId="13">
    <w:name w:val="无间隔1"/>
    <w:uiPriority w:val="1"/>
    <w:qFormat/>
    <w:pPr>
      <w:widowControl w:val="0"/>
      <w:jc w:val="both"/>
    </w:pPr>
    <w:rPr>
      <w:rFonts w:asciiTheme="minorHAnsi" w:eastAsiaTheme="minorEastAsia" w:hAnsiTheme="minorHAnsi" w:cstheme="minorBidi"/>
      <w:kern w:val="2"/>
      <w:sz w:val="21"/>
      <w:szCs w:val="22"/>
    </w:rPr>
  </w:style>
  <w:style w:type="paragraph" w:customStyle="1" w:styleId="14">
    <w:name w:val="样式1"/>
    <w:basedOn w:val="a"/>
    <w:qFormat/>
    <w:pPr>
      <w:ind w:firstLineChars="200" w:firstLine="480"/>
    </w:pPr>
    <w:rPr>
      <w:rFonts w:ascii="宋体" w:eastAsia="宋体" w:hAnsi="宋体" w:cs="宋体" w:hint="eastAsia"/>
    </w:rPr>
  </w:style>
  <w:style w:type="character" w:customStyle="1" w:styleId="20">
    <w:name w:val="标题 2 字符"/>
    <w:basedOn w:val="a1"/>
    <w:link w:val="2"/>
    <w:uiPriority w:val="9"/>
    <w:qFormat/>
    <w:rPr>
      <w:rFonts w:ascii="Arial" w:eastAsia="黑体" w:hAnsi="Arial" w:cstheme="minorBidi"/>
      <w:b/>
      <w:kern w:val="2"/>
      <w:sz w:val="28"/>
      <w:szCs w:val="22"/>
    </w:rPr>
  </w:style>
  <w:style w:type="character" w:customStyle="1" w:styleId="32">
    <w:name w:val="标题 3 字符"/>
    <w:basedOn w:val="a1"/>
    <w:uiPriority w:val="9"/>
    <w:qFormat/>
    <w:rPr>
      <w:rFonts w:asciiTheme="minorHAnsi" w:eastAsiaTheme="minorEastAsia" w:hAnsiTheme="minorHAnsi" w:cstheme="minorBidi"/>
      <w:b/>
      <w:kern w:val="2"/>
      <w:sz w:val="28"/>
      <w:szCs w:val="22"/>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F5496" w:themeColor="accent1" w:themeShade="BF"/>
      <w:kern w:val="0"/>
      <w:sz w:val="32"/>
      <w:szCs w:val="32"/>
    </w:rPr>
  </w:style>
  <w:style w:type="paragraph" w:customStyle="1" w:styleId="af8">
    <w:name w:val="图题和表题格式"/>
    <w:basedOn w:val="a0"/>
    <w:next w:val="a0"/>
    <w:qFormat/>
    <w:pPr>
      <w:ind w:firstLineChars="0" w:firstLine="0"/>
      <w:jc w:val="center"/>
    </w:pPr>
    <w:rPr>
      <w:rFonts w:eastAsia="黑体"/>
      <w:sz w:val="21"/>
    </w:rPr>
  </w:style>
  <w:style w:type="character" w:customStyle="1" w:styleId="41">
    <w:name w:val="标题 4 字符1"/>
    <w:basedOn w:val="a1"/>
    <w:link w:val="4"/>
    <w:uiPriority w:val="9"/>
    <w:qFormat/>
    <w:rPr>
      <w:rFonts w:asciiTheme="majorHAnsi" w:eastAsia="宋体" w:hAnsiTheme="majorHAnsi" w:cstheme="majorBidi"/>
      <w:b/>
      <w:bCs/>
      <w:sz w:val="24"/>
      <w:szCs w:val="28"/>
    </w:rPr>
  </w:style>
  <w:style w:type="character" w:customStyle="1" w:styleId="31">
    <w:name w:val="标题 3 字符1"/>
    <w:basedOn w:val="a1"/>
    <w:link w:val="3"/>
    <w:uiPriority w:val="9"/>
    <w:qFormat/>
    <w:rPr>
      <w:b/>
      <w:sz w:val="28"/>
    </w:rPr>
  </w:style>
  <w:style w:type="paragraph" w:customStyle="1" w:styleId="Default">
    <w:name w:val="Default"/>
    <w:qFormat/>
    <w:pPr>
      <w:widowControl w:val="0"/>
      <w:autoSpaceDE w:val="0"/>
      <w:autoSpaceDN w:val="0"/>
      <w:adjustRightInd w:val="0"/>
    </w:pPr>
    <w:rPr>
      <w:rFonts w:ascii="宋体@.岏.聀." w:eastAsia="宋体@.岏.聀." w:cs="宋体@.岏.聀."/>
      <w:color w:val="000000"/>
      <w:sz w:val="24"/>
      <w:szCs w:val="24"/>
    </w:rPr>
  </w:style>
  <w:style w:type="character" w:customStyle="1" w:styleId="a5">
    <w:name w:val="批注文字 字符"/>
    <w:basedOn w:val="a1"/>
    <w:link w:val="a4"/>
    <w:uiPriority w:val="99"/>
    <w:semiHidden/>
    <w:qFormat/>
    <w:rPr>
      <w:rFonts w:asciiTheme="minorHAnsi" w:eastAsiaTheme="minorEastAsia" w:hAnsiTheme="minorHAnsi" w:cstheme="minorBidi"/>
      <w:kern w:val="2"/>
      <w:sz w:val="21"/>
      <w:szCs w:val="22"/>
    </w:rPr>
  </w:style>
  <w:style w:type="character" w:customStyle="1" w:styleId="af2">
    <w:name w:val="批注主题 字符"/>
    <w:basedOn w:val="a5"/>
    <w:link w:val="af1"/>
    <w:uiPriority w:val="99"/>
    <w:semiHidden/>
    <w:qFormat/>
    <w:rPr>
      <w:rFonts w:asciiTheme="minorHAnsi" w:eastAsiaTheme="minorEastAsia" w:hAnsiTheme="minorHAnsi" w:cstheme="minorBidi"/>
      <w:b/>
      <w:bCs/>
      <w:kern w:val="2"/>
      <w:sz w:val="21"/>
      <w:szCs w:val="22"/>
    </w:rPr>
  </w:style>
  <w:style w:type="character" w:customStyle="1" w:styleId="ab">
    <w:name w:val="批注框文本 字符"/>
    <w:basedOn w:val="a1"/>
    <w:link w:val="aa"/>
    <w:uiPriority w:val="99"/>
    <w:semiHidden/>
    <w:qFormat/>
    <w:rPr>
      <w:rFonts w:asciiTheme="minorHAnsi" w:eastAsiaTheme="minorEastAsia" w:hAnsiTheme="minorHAnsi" w:cstheme="minorBidi"/>
      <w:kern w:val="2"/>
      <w:sz w:val="18"/>
      <w:szCs w:val="18"/>
    </w:rPr>
  </w:style>
  <w:style w:type="character" w:customStyle="1" w:styleId="a9">
    <w:name w:val="日期 字符"/>
    <w:basedOn w:val="a1"/>
    <w:link w:val="a8"/>
    <w:uiPriority w:val="99"/>
    <w:semiHidden/>
    <w:qFormat/>
    <w:rPr>
      <w:rFonts w:asciiTheme="minorHAnsi" w:eastAsiaTheme="minorEastAsia" w:hAnsiTheme="minorHAnsi" w:cstheme="minorBidi"/>
      <w:kern w:val="2"/>
      <w:sz w:val="21"/>
      <w:szCs w:val="22"/>
    </w:rPr>
  </w:style>
  <w:style w:type="paragraph" w:customStyle="1" w:styleId="15">
    <w:name w:val="修订1"/>
    <w:hidden/>
    <w:uiPriority w:val="99"/>
    <w:semiHidden/>
    <w:qFormat/>
    <w:rPr>
      <w:rFonts w:asciiTheme="minorHAnsi" w:eastAsiaTheme="minorEastAsia" w:hAnsiTheme="minorHAnsi" w:cstheme="minorBidi"/>
      <w:kern w:val="2"/>
      <w:sz w:val="21"/>
      <w:szCs w:val="22"/>
    </w:rPr>
  </w:style>
  <w:style w:type="paragraph" w:customStyle="1" w:styleId="22">
    <w:name w:val="修订2"/>
    <w:hidden/>
    <w:uiPriority w:val="99"/>
    <w:semiHidden/>
    <w:rPr>
      <w:rFonts w:asciiTheme="minorHAnsi" w:eastAsiaTheme="minorEastAsia" w:hAnsiTheme="minorHAnsi" w:cstheme="minorBidi"/>
      <w:kern w:val="2"/>
      <w:sz w:val="21"/>
      <w:szCs w:val="22"/>
    </w:rPr>
  </w:style>
  <w:style w:type="paragraph" w:styleId="TOC">
    <w:name w:val="TOC Heading"/>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F5496" w:themeColor="accent1" w:themeShade="BF"/>
      <w:kern w:val="0"/>
      <w:sz w:val="32"/>
      <w:szCs w:val="32"/>
    </w:rPr>
  </w:style>
  <w:style w:type="paragraph" w:styleId="af9">
    <w:name w:val="Revision"/>
    <w:hidden/>
    <w:uiPriority w:val="99"/>
    <w:unhideWhenUsed/>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7379E-A899-4DF7-86E8-3EB0B6DBB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2235</Words>
  <Characters>12744</Characters>
  <Application>Microsoft Office Word</Application>
  <DocSecurity>0</DocSecurity>
  <Lines>106</Lines>
  <Paragraphs>29</Paragraphs>
  <ScaleCrop>false</ScaleCrop>
  <Company/>
  <LinksUpToDate>false</LinksUpToDate>
  <CharactersWithSpaces>14950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 xinyu</dc:creator>
  <cp:lastModifiedBy>L zx</cp:lastModifiedBy>
  <cp:revision>2</cp:revision>
  <dcterms:created xsi:type="dcterms:W3CDTF">2023-09-01T13:15:00Z</dcterms:created>
  <dcterms:modified xsi:type="dcterms:W3CDTF">2023-09-01T13:15:00Z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8E57095B294148F09731A8EB99176BF0_13</vt:lpwstr>
  </property>
  <property fmtid="{D5CDD505-2E9C-101B-9397-08002B2CF9AE}" pid="4" name="GrammarlyDocumentId">
    <vt:lpwstr>c70d21df7c50f89cd783f2f1e660ee35fd9de5360d1764ad433b62654b6385c7</vt:lpwstr>
  </property>
</Properties>
</file>